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8D189" w14:textId="77777777" w:rsidR="00B70636" w:rsidRPr="00CB5DEB" w:rsidRDefault="00B70636" w:rsidP="004D3D56">
      <w:pPr>
        <w:pStyle w:val="NormalSsz1"/>
        <w:spacing w:before="0" w:after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CB5DEB">
        <w:rPr>
          <w:rFonts w:ascii="Arial" w:hAnsi="Arial" w:cs="Arial"/>
          <w:b/>
          <w:sz w:val="24"/>
          <w:szCs w:val="24"/>
          <w:lang w:val="hu-HU"/>
        </w:rPr>
        <w:t>Faktoring szerződéshez</w:t>
      </w:r>
    </w:p>
    <w:p w14:paraId="4B1B678F" w14:textId="77777777" w:rsidR="004D3D56" w:rsidRDefault="004D3D56" w:rsidP="004D3D56">
      <w:pPr>
        <w:pStyle w:val="NormalSsz1"/>
        <w:spacing w:before="0" w:after="0"/>
        <w:jc w:val="center"/>
        <w:rPr>
          <w:rFonts w:ascii="Arial" w:hAnsi="Arial" w:cs="Arial"/>
          <w:b/>
          <w:color w:val="A6A6A6" w:themeColor="background1" w:themeShade="A6"/>
          <w:sz w:val="18"/>
          <w:szCs w:val="18"/>
          <w:lang w:val="hu-HU"/>
        </w:rPr>
      </w:pPr>
    </w:p>
    <w:p w14:paraId="7560BD46" w14:textId="77777777" w:rsidR="000C08F9" w:rsidRPr="00CC1CA8" w:rsidRDefault="000C08F9" w:rsidP="004D3D56">
      <w:pPr>
        <w:pStyle w:val="NormalSsz1"/>
        <w:spacing w:before="0" w:after="0"/>
        <w:jc w:val="center"/>
        <w:rPr>
          <w:rFonts w:ascii="Arial" w:hAnsi="Arial" w:cs="Arial"/>
          <w:b/>
          <w:sz w:val="20"/>
          <w:lang w:val="hu-HU"/>
        </w:rPr>
      </w:pPr>
    </w:p>
    <w:p w14:paraId="1B4A2EF4" w14:textId="46F0464A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továbbiakban</w:t>
      </w:r>
      <w:r w:rsidR="00825900" w:rsidRPr="00CC1CA8">
        <w:rPr>
          <w:rFonts w:ascii="Arial" w:hAnsi="Arial" w:cs="Arial"/>
          <w:sz w:val="18"/>
          <w:szCs w:val="18"/>
          <w:lang w:val="hu-HU"/>
        </w:rPr>
        <w:t>: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986B08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– együttesen hoz létre (együttesen: kezességi jogviszony).</w:t>
      </w:r>
    </w:p>
    <w:p w14:paraId="07F7F852" w14:textId="533C94F2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alapítványi kezesség, mint szerződést biztosító mellékkötelezettség járulékos jellegű jogintézmény, nem jön létre az alapjogviszony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(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faktoring szerződés; a továbbiakban: szerződés) nélkül. Az alapjogviszony a pénzügyi intézmény és a vállalkozás között létrejött és az Alapítványhoz az Igénylő Lap mellékleteként beterjesztett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714362">
        <w:rPr>
          <w:rFonts w:ascii="Arial" w:hAnsi="Arial" w:cs="Arial"/>
          <w:sz w:val="18"/>
          <w:szCs w:val="18"/>
          <w:lang w:val="hu-HU"/>
        </w:rPr>
        <w:t>szabály</w:t>
      </w:r>
      <w:r w:rsidR="00714362" w:rsidRPr="00CC1CA8">
        <w:rPr>
          <w:rFonts w:ascii="Arial" w:hAnsi="Arial" w:cs="Arial"/>
          <w:sz w:val="18"/>
          <w:szCs w:val="18"/>
          <w:lang w:val="hu-HU"/>
        </w:rPr>
        <w:t xml:space="preserve">szerűen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EFE25AC" w14:textId="562AD98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, illetve </w:t>
      </w:r>
      <w:r w:rsidR="00FA4836">
        <w:rPr>
          <w:rFonts w:ascii="Arial" w:hAnsi="Arial" w:cs="Arial"/>
          <w:sz w:val="18"/>
          <w:szCs w:val="18"/>
          <w:lang w:val="hu-HU"/>
        </w:rPr>
        <w:t xml:space="preserve">a </w:t>
      </w:r>
      <w:r w:rsidR="00B11E99" w:rsidRPr="00CC1CA8">
        <w:rPr>
          <w:rFonts w:ascii="Arial" w:hAnsi="Arial" w:cs="Arial"/>
          <w:sz w:val="18"/>
          <w:szCs w:val="18"/>
          <w:lang w:val="hu-HU"/>
        </w:rPr>
        <w:t>Keretszerződés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Pr="00CC1CA8">
        <w:rPr>
          <w:rFonts w:ascii="Arial" w:hAnsi="Arial" w:cs="Arial"/>
          <w:sz w:val="18"/>
          <w:szCs w:val="18"/>
          <w:lang w:val="hu-HU"/>
        </w:rPr>
        <w:t>rendelkezései szerint az Alapítvány megbízza a pénzügyi intézményt, hogy az alapítványi – hatályos Üzletszabályzatban felsorolt – azonosítási feltételek vizsgálata során, és az Alapítvány kezesi helytállása esetén az Alapítvány követelésrészének, illetve követelésének beh</w:t>
      </w:r>
      <w:r w:rsidR="00963311" w:rsidRPr="00CC1CA8">
        <w:rPr>
          <w:rFonts w:ascii="Arial" w:hAnsi="Arial" w:cs="Arial"/>
          <w:sz w:val="18"/>
          <w:szCs w:val="18"/>
          <w:lang w:val="hu-HU"/>
        </w:rPr>
        <w:t>ajtása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és érvényesítése során – az Üzletszabályzatban rögzített eljárás szerint </w:t>
      </w:r>
      <w:r w:rsidR="00963311" w:rsidRPr="00CC1CA8">
        <w:rPr>
          <w:rFonts w:ascii="Arial" w:hAnsi="Arial" w:cs="Arial"/>
          <w:sz w:val="18"/>
          <w:szCs w:val="18"/>
          <w:lang w:val="hu-HU"/>
        </w:rPr>
        <w:t xml:space="preserve">–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megbízottjaként járjon el. </w:t>
      </w:r>
      <w:r w:rsidR="00CF539C">
        <w:rPr>
          <w:rFonts w:ascii="Arial" w:hAnsi="Arial" w:cs="Arial"/>
          <w:sz w:val="18"/>
          <w:szCs w:val="18"/>
          <w:lang w:val="hu-HU"/>
        </w:rPr>
        <w:t xml:space="preserve">Az </w:t>
      </w:r>
      <w:r w:rsidR="00CF539C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775FF1">
        <w:rPr>
          <w:rFonts w:ascii="Arial" w:hAnsi="Arial" w:cs="Arial"/>
          <w:sz w:val="18"/>
          <w:szCs w:val="18"/>
          <w:lang w:val="hu-HU"/>
        </w:rPr>
        <w:t>érdekében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kivételesen indokolt esetben, </w:t>
      </w:r>
      <w:r w:rsidR="00CF539C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CF539C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CF539C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CF539C">
        <w:rPr>
          <w:rFonts w:ascii="Arial" w:hAnsi="Arial" w:cs="Arial"/>
          <w:sz w:val="18"/>
          <w:szCs w:val="18"/>
          <w:lang w:val="hu-HU"/>
        </w:rPr>
        <w:t>,</w:t>
      </w:r>
      <w:r w:rsidR="00653A5D">
        <w:rPr>
          <w:rFonts w:ascii="Arial" w:hAnsi="Arial" w:cs="Arial"/>
          <w:sz w:val="18"/>
          <w:szCs w:val="18"/>
          <w:lang w:val="hu-HU"/>
        </w:rPr>
        <w:t xml:space="preserve"> az Alapítvány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a pénzügyi intézmény kapcsolt vállalkozás</w:t>
      </w:r>
      <w:r w:rsidR="00653A5D">
        <w:rPr>
          <w:rFonts w:ascii="Arial" w:hAnsi="Arial" w:cs="Arial"/>
          <w:sz w:val="18"/>
          <w:szCs w:val="18"/>
          <w:lang w:val="hu-HU"/>
        </w:rPr>
        <w:t>át</w:t>
      </w:r>
      <w:r w:rsidR="00CF539C">
        <w:rPr>
          <w:rFonts w:ascii="Arial" w:hAnsi="Arial" w:cs="Arial"/>
          <w:sz w:val="18"/>
          <w:szCs w:val="18"/>
          <w:lang w:val="hu-HU"/>
        </w:rPr>
        <w:t xml:space="preserve"> is </w:t>
      </w:r>
      <w:r w:rsidR="00653A5D">
        <w:rPr>
          <w:rFonts w:ascii="Arial" w:hAnsi="Arial" w:cs="Arial"/>
          <w:sz w:val="18"/>
          <w:szCs w:val="18"/>
          <w:lang w:val="hu-HU"/>
        </w:rPr>
        <w:t>megbízhatja</w:t>
      </w:r>
      <w:r w:rsidR="00CF539C">
        <w:rPr>
          <w:rFonts w:ascii="Arial" w:hAnsi="Arial" w:cs="Arial"/>
          <w:sz w:val="18"/>
          <w:szCs w:val="18"/>
          <w:lang w:val="hu-HU"/>
        </w:rPr>
        <w:t xml:space="preserve">.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825900" w:rsidRPr="00CC1CA8">
        <w:rPr>
          <w:rFonts w:ascii="Arial" w:hAnsi="Arial" w:cs="Arial"/>
          <w:sz w:val="18"/>
          <w:szCs w:val="18"/>
          <w:lang w:val="hu-HU"/>
        </w:rPr>
        <w:t>M</w:t>
      </w:r>
      <w:r w:rsidRPr="00CC1CA8">
        <w:rPr>
          <w:rFonts w:ascii="Arial" w:hAnsi="Arial" w:cs="Arial"/>
          <w:sz w:val="18"/>
          <w:szCs w:val="18"/>
          <w:lang w:val="hu-HU"/>
        </w:rPr>
        <w:t>egállapodás</w:t>
      </w:r>
      <w:r w:rsidR="00B11E99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és jelen általános szerződési feltételek aláírásával a megbízást elfogadja, illetve annak elfogadását megerősíti. Amennyiben </w:t>
      </w:r>
      <w:r w:rsidR="00825900" w:rsidRPr="00CC1CA8">
        <w:rPr>
          <w:rFonts w:ascii="Arial" w:hAnsi="Arial" w:cs="Arial"/>
          <w:sz w:val="18"/>
          <w:szCs w:val="18"/>
          <w:lang w:val="hu-HU"/>
        </w:rPr>
        <w:t xml:space="preserve">a </w:t>
      </w:r>
      <w:r w:rsidRPr="00CC1CA8">
        <w:rPr>
          <w:rFonts w:ascii="Arial" w:hAnsi="Arial" w:cs="Arial"/>
          <w:sz w:val="18"/>
          <w:szCs w:val="18"/>
          <w:lang w:val="hu-HU"/>
        </w:rPr>
        <w:t>pénzügyi intézmény a szerződéshez kapcsolódó megbízotti feladatait megszegi, az Alapítvány jogosult a szerződés vonatkozásában a Megállapodást részlegesen felmondani, és az ebből eredő kárát a pénzügyi intézménnyel szemben érvényesíteni.</w:t>
      </w:r>
    </w:p>
    <w:p w14:paraId="06F8270E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és az Alapítvány között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B35B70" w:rsidRPr="00CC1CA8">
        <w:rPr>
          <w:rFonts w:cs="Arial"/>
          <w:szCs w:val="22"/>
          <w:lang w:val="hu-HU"/>
        </w:rPr>
        <w:t xml:space="preserve"> </w:t>
      </w:r>
      <w:r w:rsidR="00B35B70" w:rsidRPr="00CC1CA8">
        <w:rPr>
          <w:rFonts w:ascii="Arial" w:hAnsi="Arial" w:cs="Arial"/>
          <w:sz w:val="18"/>
          <w:szCs w:val="18"/>
          <w:lang w:val="hu-HU"/>
        </w:rPr>
        <w:t>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="00B35B70" w:rsidRPr="00CC1CA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Pr="00CC1CA8">
        <w:rPr>
          <w:rFonts w:ascii="Arial" w:hAnsi="Arial" w:cs="Arial"/>
          <w:sz w:val="18"/>
          <w:szCs w:val="18"/>
          <w:lang w:val="hu-HU"/>
        </w:rPr>
        <w:t>a Kezességi Levél pénzügyi intézménnyel történő közlésével, illetve a kérelemtől eltérő alapítványi feltételek előírása esetén az erre vonatkozó – a pénzügyi intézmény által aláírt –</w:t>
      </w:r>
      <w:r w:rsidR="003210FD">
        <w:rPr>
          <w:rFonts w:ascii="Arial" w:hAnsi="Arial" w:cs="Arial"/>
          <w:sz w:val="18"/>
          <w:szCs w:val="18"/>
          <w:lang w:val="hu-HU"/>
        </w:rPr>
        <w:t xml:space="preserve"> </w:t>
      </w:r>
      <w:r w:rsidR="00356BAF" w:rsidRPr="00CC1CA8">
        <w:rPr>
          <w:rFonts w:ascii="Arial" w:hAnsi="Arial" w:cs="Arial"/>
          <w:sz w:val="18"/>
          <w:szCs w:val="18"/>
          <w:lang w:val="hu-HU"/>
        </w:rPr>
        <w:t>Elfogadó</w:t>
      </w:r>
      <w:r w:rsidR="00731CA2" w:rsidRPr="00CC1CA8">
        <w:rPr>
          <w:rFonts w:ascii="Arial" w:hAnsi="Arial" w:cs="Arial"/>
          <w:sz w:val="18"/>
          <w:szCs w:val="18"/>
          <w:lang w:val="hu-HU"/>
        </w:rPr>
        <w:t xml:space="preserve"> nyilatkozatnak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Levélben rögzített határidőben</w:t>
      </w:r>
      <w:r w:rsidR="00FA4836">
        <w:rPr>
          <w:rFonts w:ascii="Arial" w:hAnsi="Arial" w:cs="Arial"/>
          <w:sz w:val="18"/>
          <w:szCs w:val="18"/>
          <w:lang w:val="hu-HU"/>
        </w:rPr>
        <w:t xml:space="preserve"> az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Alapítvánnyal történő közlésével jön létre.</w:t>
      </w:r>
    </w:p>
    <w:p w14:paraId="78FF0951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6B156255" w14:textId="44E74903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923124" w:rsidRPr="00CC1CA8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illetve az Üzletszabályzat elválaszthatatlan mellékletét képező, jelen </w:t>
      </w:r>
      <w:r w:rsidR="00923124" w:rsidRPr="00CC1CA8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Pr="00CC1CA8">
        <w:rPr>
          <w:rFonts w:ascii="Arial" w:hAnsi="Arial" w:cs="Arial"/>
          <w:sz w:val="18"/>
          <w:szCs w:val="18"/>
          <w:lang w:val="hu-HU"/>
        </w:rPr>
        <w:t>hez csatolt Hirdetmény tartalmazza. A pénzügyi intézmény és a vállalkozás kijelentik, hogy az Alapítvány Hirdetménye tartalmát megismerték.</w:t>
      </w:r>
    </w:p>
    <w:p w14:paraId="2E6A451A" w14:textId="77E8CA6F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</w:p>
    <w:p w14:paraId="3DE9B16A" w14:textId="77777777" w:rsidR="007E1BD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kezesi kötelezettség terjedelmét, mértékét, a kezesség igénybevételének általános feltételeit (azonosítási, befogadási feltételek és kizáró okok), a kezesség igénybevételének részletes eljárási szabályait (igénylés, befogadás, elbírálás, döntés, a kezes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módosítása) az Üzletszabályzat tartalmazza.</w:t>
      </w:r>
    </w:p>
    <w:p w14:paraId="6B53903C" w14:textId="4AC81B31" w:rsidR="00356BAF" w:rsidRPr="00CC1CA8" w:rsidRDefault="00356BAF" w:rsidP="004D3D56">
      <w:pPr>
        <w:pStyle w:val="Szvegtrzs22"/>
        <w:numPr>
          <w:ilvl w:val="0"/>
          <w:numId w:val="4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Kezességi díj</w:t>
      </w:r>
    </w:p>
    <w:p w14:paraId="7FD1417C" w14:textId="67A26D05" w:rsidR="00356BAF" w:rsidRPr="00CC1CA8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DB1BD3">
        <w:rPr>
          <w:rFonts w:cs="Arial"/>
          <w:sz w:val="18"/>
          <w:szCs w:val="18"/>
        </w:rPr>
        <w:t xml:space="preserve">a maximális </w:t>
      </w:r>
      <w:r w:rsidRPr="00CC1CA8">
        <w:rPr>
          <w:rFonts w:cs="Arial"/>
          <w:sz w:val="18"/>
          <w:szCs w:val="18"/>
        </w:rPr>
        <w:t>támogatási intenzitást nem lépi túl.</w:t>
      </w:r>
    </w:p>
    <w:p w14:paraId="19CA1D46" w14:textId="79C811B8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DB1BD3">
        <w:rPr>
          <w:rFonts w:ascii="Arial" w:hAnsi="Arial" w:cs="Arial"/>
          <w:sz w:val="18"/>
          <w:szCs w:val="18"/>
        </w:rPr>
        <w:t xml:space="preserve">maximális </w:t>
      </w:r>
      <w:r w:rsidRPr="00CC1CA8">
        <w:rPr>
          <w:rFonts w:ascii="Arial" w:hAnsi="Arial" w:cs="Arial"/>
          <w:sz w:val="18"/>
          <w:szCs w:val="18"/>
        </w:rPr>
        <w:t>támogatási intenzitás túllépése miatt –, az Alapítvány a kedvezményes kezességi díjnál magasabb, de a piaci díjnál alacsonyabb ún. korrigált díjat állapít meg.</w:t>
      </w:r>
    </w:p>
    <w:p w14:paraId="79D1B734" w14:textId="016870DD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DB1BD3" w:rsidRPr="00CC1CA8">
        <w:rPr>
          <w:rFonts w:ascii="Arial" w:hAnsi="Arial" w:cs="Arial"/>
          <w:sz w:val="18"/>
          <w:szCs w:val="18"/>
        </w:rPr>
        <w:t>támogatástartal</w:t>
      </w:r>
      <w:r w:rsidR="00DB1BD3">
        <w:rPr>
          <w:rFonts w:ascii="Arial" w:hAnsi="Arial" w:cs="Arial"/>
          <w:sz w:val="18"/>
          <w:szCs w:val="18"/>
        </w:rPr>
        <w:t>omig</w:t>
      </w:r>
      <w:r w:rsidR="00DB1BD3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és/vagy támogatási intenzitás</w:t>
      </w:r>
      <w:r w:rsidR="00DB1BD3">
        <w:rPr>
          <w:rFonts w:ascii="Arial" w:hAnsi="Arial" w:cs="Arial"/>
          <w:sz w:val="18"/>
          <w:szCs w:val="18"/>
        </w:rPr>
        <w:t>ig</w:t>
      </w:r>
      <w:r w:rsidRPr="00CC1CA8">
        <w:rPr>
          <w:rFonts w:ascii="Arial" w:hAnsi="Arial" w:cs="Arial"/>
          <w:sz w:val="18"/>
          <w:szCs w:val="18"/>
        </w:rPr>
        <w:t xml:space="preserve"> a piaci díjnál alacsonyabb díj alkalmazása lehetséges.</w:t>
      </w:r>
    </w:p>
    <w:p w14:paraId="7D6E4F9B" w14:textId="1AC2BAF0" w:rsidR="00356BAF" w:rsidRPr="00CC1CA8" w:rsidRDefault="00356BAF" w:rsidP="004D3D56">
      <w:pPr>
        <w:pStyle w:val="Listaszerbekezds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Amennyiben a kezesség a kedvezményes (ideértve a korrigált kezességi díjat is) díjon nem nyújtható, a kezességet az Alapítvány piaci díjon vállalja.</w:t>
      </w:r>
    </w:p>
    <w:p w14:paraId="0BF0E81F" w14:textId="77777777" w:rsidR="00356BAF" w:rsidRDefault="00356BAF" w:rsidP="004D3D56">
      <w:pPr>
        <w:pStyle w:val="Szvegtrzs22"/>
        <w:numPr>
          <w:ilvl w:val="0"/>
          <w:numId w:val="23"/>
        </w:numPr>
        <w:spacing w:before="0" w:after="0"/>
        <w:ind w:hanging="294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340595A6" w14:textId="77777777" w:rsidR="00356BAF" w:rsidRPr="00CC1CA8" w:rsidRDefault="00356BAF" w:rsidP="004D3D56">
      <w:pPr>
        <w:pStyle w:val="Listaszerbekezds"/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ind w:left="426" w:right="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Döntés a kezességi díjról</w:t>
      </w:r>
    </w:p>
    <w:p w14:paraId="554AD779" w14:textId="195603FE" w:rsidR="002872CF" w:rsidRPr="008A2020" w:rsidRDefault="00356BAF" w:rsidP="004D3D56">
      <w:pPr>
        <w:pStyle w:val="Listaszerbekezds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8A2020">
        <w:rPr>
          <w:rFonts w:ascii="Arial" w:hAnsi="Arial" w:cs="Arial"/>
          <w:sz w:val="18"/>
          <w:szCs w:val="18"/>
        </w:rPr>
        <w:t>Az Alapítvány a kezességvállalásról szóló döntése meghozatala során a Magyar Államkincstár nyilvántartásából lekérdezi a vállalkozás szabad támogatási keretét, és a lekérdezés eredménye szerint sorolja a kezességet az Üzletszabályzat II.5. 1.1 pontjában rögzített díjkategóriákba.</w:t>
      </w:r>
    </w:p>
    <w:p w14:paraId="33391274" w14:textId="3B173559" w:rsidR="00356BAF" w:rsidRPr="00CC1CA8" w:rsidRDefault="00356BAF" w:rsidP="004D3D56">
      <w:pPr>
        <w:pStyle w:val="Szvegtrzs22"/>
        <w:numPr>
          <w:ilvl w:val="0"/>
          <w:numId w:val="24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CC1CA8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 az előzetes adatszolgáltatás ellenére – nem volt elegendő támogatási kerete, és így részére jogosulatlanul került a kedvezményes kezességi díj, mint állami támogatás odaítélésre, az Alapítvány helyesbíti a kezesség kategóriáját, és kiállítja az új díjkategóriának megfelelő szám</w:t>
      </w:r>
      <w:r w:rsidR="00A34E13">
        <w:rPr>
          <w:rFonts w:cs="Arial"/>
          <w:sz w:val="18"/>
          <w:szCs w:val="18"/>
        </w:rPr>
        <w:t>viteli bizonylato</w:t>
      </w:r>
      <w:r w:rsidRPr="00CC1CA8">
        <w:rPr>
          <w:rFonts w:cs="Arial"/>
          <w:sz w:val="18"/>
          <w:szCs w:val="18"/>
        </w:rPr>
        <w:t xml:space="preserve">t, a Kezességi Levelet és a támogatástartalom-igazolást. Felek kifejezetten tudomásul veszik, hogy a kezességi díj ebben az esetben – az állami támogatási szabályoknak megfelelően – </w:t>
      </w:r>
      <w:r w:rsidRPr="00CC1CA8">
        <w:rPr>
          <w:rFonts w:cs="Arial"/>
          <w:sz w:val="18"/>
          <w:szCs w:val="18"/>
        </w:rPr>
        <w:lastRenderedPageBreak/>
        <w:t>egyoldalúan módosításra kerül.</w:t>
      </w:r>
    </w:p>
    <w:p w14:paraId="2F85A949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tudomásul veszi, hogy 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35BC1163" w14:textId="77777777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[Ptk.6:430. § (3) bekezdés],</w:t>
      </w:r>
    </w:p>
    <w:p w14:paraId="0AF3E1D4" w14:textId="3B8A4DD3" w:rsidR="00B11E99" w:rsidRPr="00CC1CA8" w:rsidRDefault="00B11E99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</w:t>
      </w:r>
      <w:r w:rsidR="00DB1BD3" w:rsidRPr="008B7815">
        <w:rPr>
          <w:rFonts w:cs="Arial"/>
          <w:szCs w:val="22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[Ptk.</w:t>
      </w:r>
      <w:r w:rsidR="0092312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5:90. §],</w:t>
      </w:r>
    </w:p>
    <w:p w14:paraId="492B33D8" w14:textId="3D89CCDE" w:rsidR="00B11E99" w:rsidRPr="00CC1CA8" w:rsidRDefault="009007A5" w:rsidP="004D3D56">
      <w:pPr>
        <w:numPr>
          <w:ilvl w:val="0"/>
          <w:numId w:val="5"/>
        </w:numPr>
        <w:spacing w:before="0" w:after="0"/>
        <w:ind w:left="709" w:hanging="284"/>
        <w:rPr>
          <w:rFonts w:ascii="Arial" w:hAnsi="Arial" w:cs="Arial"/>
          <w:bCs/>
          <w:sz w:val="18"/>
          <w:szCs w:val="18"/>
          <w:lang w:val="hu-HU"/>
        </w:rPr>
      </w:pPr>
      <w:r w:rsidRPr="009007A5"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bCs/>
          <w:sz w:val="18"/>
          <w:szCs w:val="18"/>
          <w:lang w:val="hu-HU"/>
        </w:rPr>
        <w:t xml:space="preserve">köteles </w:t>
      </w:r>
      <w:r w:rsidR="00B11E99" w:rsidRPr="00CC1CA8">
        <w:rPr>
          <w:rFonts w:ascii="Arial" w:hAnsi="Arial" w:cs="Arial"/>
          <w:bCs/>
          <w:sz w:val="18"/>
          <w:szCs w:val="18"/>
          <w:lang w:val="hu-HU"/>
        </w:rPr>
        <w:t>a nyilvántartásba vételi kötelezettségre vonatkozó szabályoknak eleget tenni [Ptk.6:406. §].</w:t>
      </w:r>
    </w:p>
    <w:p w14:paraId="1970B74B" w14:textId="6A852E32" w:rsidR="00356BAF" w:rsidRPr="00CC1CA8" w:rsidRDefault="00D86E1E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kezességi szerződés megszűnik,</w:t>
      </w:r>
    </w:p>
    <w:p w14:paraId="14347936" w14:textId="124A344B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abban szereplő fizetési kötelezettség teljesül,</w:t>
      </w:r>
    </w:p>
    <w:p w14:paraId="3C1AD29A" w14:textId="2DC7B983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6C0E2A72" w14:textId="34747EED" w:rsidR="00D86E1E" w:rsidRPr="00CC1CA8" w:rsidRDefault="00D87063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 szerződésátruházásról szóló szerződés</w:t>
      </w:r>
      <w:r w:rsidR="00237418">
        <w:rPr>
          <w:rFonts w:ascii="Arial" w:hAnsi="Arial" w:cs="Arial"/>
          <w:sz w:val="18"/>
          <w:szCs w:val="18"/>
          <w:lang w:val="hu-HU"/>
        </w:rPr>
        <w:t xml:space="preserve">, </w:t>
      </w:r>
      <w:r w:rsidR="00130CC7">
        <w:rPr>
          <w:rFonts w:ascii="Arial" w:hAnsi="Arial" w:cs="Arial"/>
          <w:sz w:val="18"/>
          <w:szCs w:val="18"/>
          <w:lang w:val="hu-HU"/>
        </w:rPr>
        <w:t>követelés</w:t>
      </w:r>
      <w:r w:rsidR="00130CC7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engedményezé</w:t>
      </w:r>
      <w:r w:rsidR="00130CC7">
        <w:rPr>
          <w:rFonts w:ascii="Arial" w:hAnsi="Arial" w:cs="Arial"/>
          <w:sz w:val="18"/>
          <w:szCs w:val="18"/>
          <w:lang w:val="hu-HU"/>
        </w:rPr>
        <w:t>séről szóló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szerződés hatálybalépésével, amennyiben </w:t>
      </w:r>
      <w:r w:rsidR="00237418">
        <w:rPr>
          <w:rFonts w:ascii="Arial" w:hAnsi="Arial" w:cs="Arial"/>
          <w:sz w:val="18"/>
          <w:szCs w:val="18"/>
          <w:lang w:val="hu-HU"/>
        </w:rPr>
        <w:t xml:space="preserve">a szerződésátruházás vagy </w:t>
      </w:r>
      <w:r w:rsidR="00D86E1E" w:rsidRPr="00CC1CA8">
        <w:rPr>
          <w:rFonts w:ascii="Arial" w:hAnsi="Arial" w:cs="Arial"/>
          <w:sz w:val="18"/>
          <w:szCs w:val="18"/>
          <w:lang w:val="hu-HU"/>
        </w:rPr>
        <w:t>az engedményezés nem az Üzletszabályzat VI.3</w:t>
      </w:r>
      <w:r w:rsidR="00DF3C7E">
        <w:rPr>
          <w:rFonts w:ascii="Arial" w:hAnsi="Arial" w:cs="Arial"/>
          <w:sz w:val="18"/>
          <w:szCs w:val="18"/>
          <w:lang w:val="hu-HU"/>
        </w:rPr>
        <w:t>.1</w:t>
      </w:r>
      <w:r w:rsidR="00D86E1E" w:rsidRPr="00CC1CA8">
        <w:rPr>
          <w:rFonts w:ascii="Arial" w:hAnsi="Arial" w:cs="Arial"/>
          <w:sz w:val="18"/>
          <w:szCs w:val="18"/>
          <w:lang w:val="hu-HU"/>
        </w:rPr>
        <w:t xml:space="preserve"> b) pontjában rögzített intézményekre történik,</w:t>
      </w:r>
    </w:p>
    <w:p w14:paraId="767F42B5" w14:textId="77777777" w:rsidR="00D86E1E" w:rsidRPr="00CC1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B2F1E28" w14:textId="3E3ABABB" w:rsidR="00F42CA8" w:rsidRDefault="00D86E1E" w:rsidP="004D3D56">
      <w:pPr>
        <w:numPr>
          <w:ilvl w:val="1"/>
          <w:numId w:val="10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3E5C38">
        <w:rPr>
          <w:rFonts w:ascii="Arial" w:hAnsi="Arial" w:cs="Arial"/>
          <w:sz w:val="18"/>
          <w:szCs w:val="18"/>
          <w:lang w:val="hu-HU"/>
        </w:rPr>
        <w:t>.</w:t>
      </w:r>
    </w:p>
    <w:p w14:paraId="29A49683" w14:textId="27314449" w:rsidR="00D86E1E" w:rsidRPr="00F42CA8" w:rsidRDefault="00F42CA8" w:rsidP="00F42CA8">
      <w:pPr>
        <w:pStyle w:val="NormalSsz1"/>
        <w:numPr>
          <w:ilvl w:val="1"/>
          <w:numId w:val="10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bookmarkStart w:id="0" w:name="_Hlk528314923"/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A34E13">
        <w:rPr>
          <w:rFonts w:ascii="Arial" w:hAnsi="Arial" w:cs="Arial"/>
          <w:sz w:val="18"/>
          <w:szCs w:val="18"/>
          <w:lang w:val="hu-HU"/>
        </w:rPr>
        <w:t>számviteli bizonylat kiállításától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számított 90 napon belül a díj első évi összege (illetve az egyösszegű díj) </w:t>
      </w:r>
      <w:r w:rsidR="003A17F8" w:rsidRPr="00B96FC3">
        <w:rPr>
          <w:rFonts w:ascii="Arial" w:hAnsi="Arial" w:cs="Arial"/>
          <w:sz w:val="18"/>
          <w:szCs w:val="18"/>
          <w:lang w:val="hu-HU"/>
        </w:rPr>
        <w:t xml:space="preserve">vagy saját hitel kiváltása esetén a kiváltott szerződés után járó kezességi díj </w:t>
      </w:r>
      <w:r w:rsidRPr="00F42CA8">
        <w:rPr>
          <w:rFonts w:ascii="Arial" w:hAnsi="Arial" w:cs="Arial"/>
          <w:sz w:val="18"/>
          <w:szCs w:val="18"/>
          <w:lang w:val="hu-HU"/>
        </w:rPr>
        <w:t>nem kerül jóváírásra az Alapítvány számláján</w:t>
      </w:r>
      <w:r w:rsidR="00D86E1E" w:rsidRPr="00F42CA8">
        <w:rPr>
          <w:rFonts w:ascii="Arial" w:hAnsi="Arial" w:cs="Arial"/>
          <w:sz w:val="18"/>
          <w:szCs w:val="18"/>
          <w:lang w:val="hu-HU"/>
        </w:rPr>
        <w:t>.</w:t>
      </w:r>
    </w:p>
    <w:bookmarkEnd w:id="0"/>
    <w:p w14:paraId="2A2ED8FD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82245E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i szerződést a kezesi helytállási kötelezettsége beállta előtt azonnali hatállyal felmondani, amennyiben </w:t>
      </w:r>
    </w:p>
    <w:p w14:paraId="62471AA1" w14:textId="43C4EBF3" w:rsidR="00B70636" w:rsidRPr="00CC1CA8" w:rsidRDefault="00B70636" w:rsidP="004D3D56">
      <w:pPr>
        <w:pStyle w:val="NormalSsz1"/>
        <w:numPr>
          <w:ilvl w:val="1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intézmény elmulasztotta beszerezni,</w:t>
      </w:r>
    </w:p>
    <w:p w14:paraId="5CD57F95" w14:textId="6E1A0A25" w:rsidR="00B70636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82245E" w:rsidRPr="00CC1CA8">
        <w:rPr>
          <w:rFonts w:ascii="Arial" w:hAnsi="Arial" w:cs="Arial"/>
          <w:sz w:val="18"/>
          <w:szCs w:val="18"/>
        </w:rPr>
        <w:t xml:space="preserve">ésszerű időn belül </w:t>
      </w:r>
      <w:r w:rsidRPr="00CC1CA8">
        <w:rPr>
          <w:rFonts w:ascii="Arial" w:hAnsi="Arial" w:cs="Arial"/>
          <w:sz w:val="18"/>
          <w:szCs w:val="18"/>
        </w:rPr>
        <w:t>nem tájékoztatja, illetve az Üzletszabályzat II.3.</w:t>
      </w:r>
      <w:r w:rsidR="00C97667" w:rsidRPr="00CC1CA8">
        <w:rPr>
          <w:rFonts w:ascii="Arial" w:hAnsi="Arial" w:cs="Arial"/>
          <w:sz w:val="18"/>
          <w:szCs w:val="18"/>
        </w:rPr>
        <w:t>7</w:t>
      </w:r>
      <w:r w:rsidR="00CF3BD6" w:rsidRPr="00CC1CA8">
        <w:rPr>
          <w:rFonts w:ascii="Arial" w:hAnsi="Arial" w:cs="Arial"/>
          <w:sz w:val="18"/>
          <w:szCs w:val="18"/>
        </w:rPr>
        <w:t xml:space="preserve"> </w:t>
      </w:r>
      <w:r w:rsidR="00FD7620">
        <w:rPr>
          <w:rFonts w:ascii="Arial" w:hAnsi="Arial" w:cs="Arial"/>
          <w:sz w:val="18"/>
          <w:szCs w:val="18"/>
        </w:rPr>
        <w:t>vagy</w:t>
      </w:r>
      <w:r w:rsidR="00FD7620" w:rsidRPr="00CC1CA8">
        <w:rPr>
          <w:rFonts w:ascii="Arial" w:hAnsi="Arial" w:cs="Arial"/>
          <w:sz w:val="18"/>
          <w:szCs w:val="18"/>
        </w:rPr>
        <w:t xml:space="preserve"> </w:t>
      </w:r>
      <w:r w:rsidR="00CF3BD6" w:rsidRPr="00CC1CA8">
        <w:rPr>
          <w:rFonts w:ascii="Arial" w:hAnsi="Arial" w:cs="Arial"/>
          <w:sz w:val="18"/>
          <w:szCs w:val="18"/>
        </w:rPr>
        <w:t xml:space="preserve">VII. </w:t>
      </w:r>
      <w:r w:rsidR="00FD7620">
        <w:rPr>
          <w:rFonts w:ascii="Arial" w:hAnsi="Arial" w:cs="Arial"/>
          <w:sz w:val="18"/>
          <w:szCs w:val="18"/>
        </w:rPr>
        <w:t>11</w:t>
      </w:r>
      <w:r w:rsidR="00CF3BD6" w:rsidRPr="00CC1CA8">
        <w:rPr>
          <w:rFonts w:ascii="Arial" w:hAnsi="Arial" w:cs="Arial"/>
          <w:sz w:val="18"/>
          <w:szCs w:val="18"/>
        </w:rPr>
        <w:t>.</w:t>
      </w:r>
      <w:r w:rsidR="00D86E1E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pont</w:t>
      </w:r>
      <w:r w:rsidR="00D86E1E" w:rsidRPr="00CC1CA8">
        <w:rPr>
          <w:rFonts w:ascii="Arial" w:hAnsi="Arial" w:cs="Arial"/>
          <w:sz w:val="18"/>
          <w:szCs w:val="18"/>
        </w:rPr>
        <w:t>já</w:t>
      </w:r>
      <w:r w:rsidRPr="00CC1CA8">
        <w:rPr>
          <w:rFonts w:ascii="Arial" w:hAnsi="Arial" w:cs="Arial"/>
          <w:sz w:val="18"/>
          <w:szCs w:val="18"/>
        </w:rPr>
        <w:t>ban rögzített</w:t>
      </w:r>
      <w:r w:rsidR="006775BD" w:rsidRPr="00CC1CA8">
        <w:rPr>
          <w:rFonts w:ascii="Arial" w:hAnsi="Arial" w:cs="Arial"/>
          <w:sz w:val="18"/>
          <w:szCs w:val="18"/>
        </w:rPr>
        <w:t xml:space="preserve"> </w:t>
      </w:r>
      <w:r w:rsidRPr="00CC1CA8">
        <w:rPr>
          <w:rFonts w:ascii="Arial" w:hAnsi="Arial" w:cs="Arial"/>
          <w:sz w:val="18"/>
          <w:szCs w:val="18"/>
        </w:rPr>
        <w:t>tájékoztatási kötelezettségének nem tesz eleget,</w:t>
      </w:r>
    </w:p>
    <w:p w14:paraId="058C62F4" w14:textId="77777777" w:rsidR="00B70636" w:rsidRPr="00CC1CA8" w:rsidRDefault="00B70636" w:rsidP="00D75DF9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abban az esetben, ha az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a)-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>b) pontokban rögzítettekről az Alapítvány a kezesi helytállási kötelezettsége keletkezése előtt értesül</w:t>
      </w:r>
      <w:r w:rsidR="0082245E" w:rsidRPr="00CC1CA8">
        <w:rPr>
          <w:rFonts w:ascii="Arial" w:hAnsi="Arial" w:cs="Arial"/>
          <w:sz w:val="18"/>
          <w:szCs w:val="18"/>
          <w:lang w:val="hu-HU"/>
        </w:rPr>
        <w:t>;</w:t>
      </w:r>
    </w:p>
    <w:p w14:paraId="75BCECB9" w14:textId="4C2497E0" w:rsidR="00E72DC3" w:rsidRPr="00CC1CA8" w:rsidRDefault="00B70636" w:rsidP="004D3D56">
      <w:pPr>
        <w:pStyle w:val="Listaszerbekezds"/>
        <w:numPr>
          <w:ilvl w:val="1"/>
          <w:numId w:val="6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BF55BE">
        <w:rPr>
          <w:rFonts w:ascii="Arial" w:hAnsi="Arial" w:cs="Arial"/>
          <w:sz w:val="18"/>
          <w:szCs w:val="18"/>
        </w:rPr>
        <w:t xml:space="preserve">a hatálybalépést követően </w:t>
      </w:r>
      <w:r w:rsidR="002026BB">
        <w:rPr>
          <w:rFonts w:ascii="Arial" w:hAnsi="Arial" w:cs="Arial"/>
          <w:sz w:val="18"/>
          <w:szCs w:val="18"/>
        </w:rPr>
        <w:t xml:space="preserve">a kezességi díjat </w:t>
      </w:r>
      <w:r w:rsidR="004043E6" w:rsidRPr="00CC1CA8">
        <w:rPr>
          <w:rFonts w:ascii="Arial" w:hAnsi="Arial" w:cs="Arial"/>
          <w:sz w:val="18"/>
          <w:szCs w:val="18"/>
        </w:rPr>
        <w:t>(ideértve a</w:t>
      </w:r>
      <w:r w:rsidR="00D86E1E" w:rsidRPr="00CC1CA8">
        <w:rPr>
          <w:rFonts w:ascii="Arial" w:hAnsi="Arial" w:cs="Arial"/>
          <w:sz w:val="18"/>
          <w:szCs w:val="18"/>
        </w:rPr>
        <w:t xml:space="preserve">z Üzletszabályzat </w:t>
      </w:r>
      <w:r w:rsidR="00B10257" w:rsidRPr="00CC1CA8">
        <w:rPr>
          <w:rFonts w:ascii="Arial" w:hAnsi="Arial" w:cs="Arial"/>
          <w:sz w:val="18"/>
          <w:szCs w:val="18"/>
        </w:rPr>
        <w:t xml:space="preserve">II.5. 2.2 pontja </w:t>
      </w:r>
      <w:r w:rsidR="004043E6" w:rsidRPr="00CC1CA8">
        <w:rPr>
          <w:rFonts w:ascii="Arial" w:hAnsi="Arial" w:cs="Arial"/>
          <w:sz w:val="18"/>
          <w:szCs w:val="18"/>
        </w:rPr>
        <w:t>szerinti</w:t>
      </w:r>
      <w:r w:rsidR="00532651" w:rsidRPr="00CC1CA8">
        <w:rPr>
          <w:rFonts w:ascii="Arial" w:hAnsi="Arial" w:cs="Arial"/>
          <w:sz w:val="18"/>
          <w:szCs w:val="18"/>
        </w:rPr>
        <w:t xml:space="preserve"> </w:t>
      </w:r>
      <w:r w:rsidR="00970BC6">
        <w:rPr>
          <w:rFonts w:ascii="Arial" w:hAnsi="Arial" w:cs="Arial"/>
          <w:sz w:val="18"/>
          <w:szCs w:val="18"/>
        </w:rPr>
        <w:t>díj</w:t>
      </w:r>
      <w:r w:rsidR="004043E6" w:rsidRPr="00CC1CA8">
        <w:rPr>
          <w:rFonts w:ascii="Arial" w:hAnsi="Arial" w:cs="Arial"/>
          <w:sz w:val="18"/>
          <w:szCs w:val="18"/>
        </w:rPr>
        <w:t>különbözet összegét is)</w:t>
      </w:r>
      <w:r w:rsidRPr="00CC1CA8">
        <w:rPr>
          <w:rFonts w:ascii="Arial" w:hAnsi="Arial" w:cs="Arial"/>
          <w:sz w:val="18"/>
          <w:szCs w:val="18"/>
        </w:rPr>
        <w:t>, illetve módosítás esetén annak az esedékes díját, a szám</w:t>
      </w:r>
      <w:r w:rsidR="00A34E13">
        <w:rPr>
          <w:rFonts w:ascii="Arial" w:hAnsi="Arial" w:cs="Arial"/>
          <w:sz w:val="18"/>
          <w:szCs w:val="18"/>
        </w:rPr>
        <w:t>vite</w:t>
      </w:r>
      <w:r w:rsidRPr="00CC1CA8">
        <w:rPr>
          <w:rFonts w:ascii="Arial" w:hAnsi="Arial" w:cs="Arial"/>
          <w:sz w:val="18"/>
          <w:szCs w:val="18"/>
        </w:rPr>
        <w:t>l</w:t>
      </w:r>
      <w:r w:rsidR="00A34E13">
        <w:rPr>
          <w:rFonts w:ascii="Arial" w:hAnsi="Arial" w:cs="Arial"/>
          <w:sz w:val="18"/>
          <w:szCs w:val="18"/>
        </w:rPr>
        <w:t>i bizonyl</w:t>
      </w:r>
      <w:r w:rsidRPr="00CC1CA8">
        <w:rPr>
          <w:rFonts w:ascii="Arial" w:hAnsi="Arial" w:cs="Arial"/>
          <w:sz w:val="18"/>
          <w:szCs w:val="18"/>
        </w:rPr>
        <w:t>a</w:t>
      </w:r>
      <w:r w:rsidR="00A34E13">
        <w:rPr>
          <w:rFonts w:ascii="Arial" w:hAnsi="Arial" w:cs="Arial"/>
          <w:sz w:val="18"/>
          <w:szCs w:val="18"/>
        </w:rPr>
        <w:t>t</w:t>
      </w:r>
      <w:r w:rsidRPr="00CC1CA8">
        <w:rPr>
          <w:rFonts w:ascii="Arial" w:hAnsi="Arial" w:cs="Arial"/>
          <w:sz w:val="18"/>
          <w:szCs w:val="18"/>
        </w:rPr>
        <w:t xml:space="preserve"> ki</w:t>
      </w:r>
      <w:r w:rsidR="00A34E13">
        <w:rPr>
          <w:rFonts w:ascii="Arial" w:hAnsi="Arial" w:cs="Arial"/>
          <w:sz w:val="18"/>
          <w:szCs w:val="18"/>
        </w:rPr>
        <w:t>állí</w:t>
      </w:r>
      <w:r w:rsidRPr="00CC1CA8">
        <w:rPr>
          <w:rFonts w:ascii="Arial" w:hAnsi="Arial" w:cs="Arial"/>
          <w:sz w:val="18"/>
          <w:szCs w:val="18"/>
        </w:rPr>
        <w:t>tását</w:t>
      </w:r>
      <w:r w:rsidR="00D86E1E" w:rsidRPr="00CC1CA8">
        <w:rPr>
          <w:rFonts w:ascii="Arial" w:hAnsi="Arial" w:cs="Arial"/>
          <w:sz w:val="18"/>
          <w:szCs w:val="18"/>
        </w:rPr>
        <w:t>ól számított 60</w:t>
      </w:r>
      <w:r w:rsidRPr="00CC1CA8">
        <w:rPr>
          <w:rFonts w:ascii="Arial" w:hAnsi="Arial" w:cs="Arial"/>
          <w:sz w:val="18"/>
          <w:szCs w:val="18"/>
        </w:rPr>
        <w:t xml:space="preserve"> napon belül nem fizeti meg</w:t>
      </w:r>
      <w:r w:rsidR="00703819">
        <w:rPr>
          <w:rFonts w:ascii="Arial" w:hAnsi="Arial" w:cs="Arial"/>
          <w:sz w:val="18"/>
          <w:szCs w:val="18"/>
        </w:rPr>
        <w:t>.</w:t>
      </w:r>
    </w:p>
    <w:p w14:paraId="6BD27D59" w14:textId="11276659" w:rsidR="00D129A8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kezesi helytállási kötelezettség</w:t>
      </w:r>
      <w:r w:rsidR="00813D7A" w:rsidRPr="00CC1CA8">
        <w:rPr>
          <w:rFonts w:ascii="Arial" w:hAnsi="Arial" w:cs="Arial"/>
          <w:sz w:val="18"/>
          <w:szCs w:val="18"/>
          <w:lang w:val="hu-HU"/>
        </w:rPr>
        <w:t>e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beállt</w:t>
      </w:r>
      <w:r w:rsidR="00174176" w:rsidRPr="00CC1CA8">
        <w:rPr>
          <w:rFonts w:ascii="Arial" w:hAnsi="Arial" w:cs="Arial"/>
          <w:sz w:val="18"/>
          <w:szCs w:val="18"/>
          <w:lang w:val="hu-HU"/>
        </w:rPr>
        <w:t>ának időpontja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esetén, a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8E688A" w:rsidRPr="00CC1CA8">
        <w:rPr>
          <w:rFonts w:ascii="Arial" w:hAnsi="Arial" w:cs="Arial"/>
          <w:sz w:val="18"/>
          <w:szCs w:val="18"/>
          <w:lang w:val="hu-HU"/>
        </w:rPr>
        <w:t xml:space="preserve">Megállapodásban rögzítettek figyelembevételével </w:t>
      </w:r>
      <w:r w:rsidR="00970BC6" w:rsidRPr="00CC1CA8">
        <w:rPr>
          <w:rFonts w:ascii="Arial" w:hAnsi="Arial" w:cs="Arial"/>
          <w:sz w:val="18"/>
          <w:szCs w:val="18"/>
          <w:lang w:val="hu-HU"/>
        </w:rPr>
        <w:t>–</w:t>
      </w:r>
      <w:r w:rsidR="00970BC6">
        <w:rPr>
          <w:rFonts w:ascii="Arial" w:hAnsi="Arial" w:cs="Arial"/>
          <w:sz w:val="18"/>
          <w:szCs w:val="18"/>
          <w:lang w:val="hu-HU"/>
        </w:rPr>
        <w:t xml:space="preserve"> a követelés alábbi esedékessé válási időpontja:</w:t>
      </w:r>
    </w:p>
    <w:p w14:paraId="051FC130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határozott időre kötött faktoring szerződés végső lejárt</w:t>
      </w:r>
      <w:r w:rsidR="003279CB" w:rsidRPr="00CC1CA8">
        <w:rPr>
          <w:rFonts w:ascii="Arial" w:hAnsi="Arial" w:cs="Arial"/>
          <w:sz w:val="18"/>
          <w:szCs w:val="18"/>
          <w:lang w:val="hu-HU"/>
        </w:rPr>
        <w:t>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</w:t>
      </w:r>
      <w:r w:rsidR="00DB34BB" w:rsidRPr="00CC1CA8">
        <w:rPr>
          <w:rFonts w:ascii="Arial" w:hAnsi="Arial" w:cs="Arial"/>
          <w:sz w:val="18"/>
          <w:szCs w:val="18"/>
          <w:lang w:val="hu-HU"/>
        </w:rPr>
        <w:t>vagy</w:t>
      </w:r>
    </w:p>
    <w:p w14:paraId="2E42F9AC" w14:textId="77777777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szabályszerű felmondás</w:t>
      </w:r>
      <w:r w:rsidR="00174176" w:rsidRPr="00CC1CA8">
        <w:rPr>
          <w:rFonts w:ascii="Arial" w:hAnsi="Arial" w:cs="Arial"/>
          <w:sz w:val="18"/>
          <w:szCs w:val="18"/>
          <w:lang w:val="hu-HU"/>
        </w:rPr>
        <w:t>a</w:t>
      </w:r>
      <w:r w:rsidR="00A27C46" w:rsidRPr="00CC1CA8">
        <w:rPr>
          <w:rFonts w:ascii="Arial" w:hAnsi="Arial" w:cs="Arial"/>
          <w:sz w:val="18"/>
          <w:szCs w:val="18"/>
          <w:lang w:val="hu-HU"/>
        </w:rPr>
        <w:t>,</w:t>
      </w:r>
      <w:r w:rsidR="00DB34BB" w:rsidRPr="00CC1CA8">
        <w:rPr>
          <w:rFonts w:ascii="Arial" w:hAnsi="Arial" w:cs="Arial"/>
          <w:sz w:val="18"/>
          <w:szCs w:val="18"/>
          <w:lang w:val="hu-HU"/>
        </w:rPr>
        <w:t xml:space="preserve"> vagy</w:t>
      </w:r>
    </w:p>
    <w:p w14:paraId="5A710DE7" w14:textId="780414FD" w:rsidR="00D129A8" w:rsidRPr="00CC1CA8" w:rsidRDefault="00D129A8" w:rsidP="004D3D56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felszámolást elrendelő végzés</w:t>
      </w:r>
      <w:r w:rsidR="004D02C0" w:rsidRPr="00CC1CA8">
        <w:rPr>
          <w:rFonts w:ascii="Arial" w:hAnsi="Arial" w:cs="Arial"/>
          <w:sz w:val="18"/>
          <w:szCs w:val="18"/>
          <w:lang w:val="hu-HU"/>
        </w:rPr>
        <w:t xml:space="preserve"> kö</w:t>
      </w:r>
      <w:r w:rsidRPr="00CC1CA8">
        <w:rPr>
          <w:rFonts w:ascii="Arial" w:hAnsi="Arial" w:cs="Arial"/>
          <w:sz w:val="18"/>
          <w:szCs w:val="18"/>
          <w:lang w:val="hu-HU"/>
        </w:rPr>
        <w:t>zzét</w:t>
      </w:r>
      <w:r w:rsidR="004D02C0" w:rsidRPr="00CC1CA8">
        <w:rPr>
          <w:rFonts w:ascii="Arial" w:hAnsi="Arial" w:cs="Arial"/>
          <w:sz w:val="18"/>
          <w:szCs w:val="18"/>
          <w:lang w:val="hu-HU"/>
        </w:rPr>
        <w:t>étel</w:t>
      </w:r>
      <w:r w:rsidR="00174176" w:rsidRPr="00CC1CA8">
        <w:rPr>
          <w:rFonts w:ascii="Arial" w:hAnsi="Arial" w:cs="Arial"/>
          <w:sz w:val="18"/>
          <w:szCs w:val="18"/>
          <w:lang w:val="hu-HU"/>
        </w:rPr>
        <w:t>e</w:t>
      </w:r>
      <w:r w:rsidR="004D02C0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3E2F4FA1" w14:textId="39BEC56F" w:rsidR="002A19BE" w:rsidRDefault="00262CB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helytállási kötelezettsége beállásának általános feltétele minden esetben, hogy a pénzügyi intézmény a visszkereseti jogát érvényesítse és a beszámítási joga alapján a követelés előzetes, pénzforgalmi úton történő beszedését megkísérelje.</w:t>
      </w:r>
      <w:r w:rsidR="002A19BE" w:rsidRPr="00CC1CA8">
        <w:rPr>
          <w:rFonts w:ascii="Arial" w:hAnsi="Arial" w:cs="Arial"/>
          <w:sz w:val="18"/>
          <w:szCs w:val="18"/>
          <w:lang w:val="hu-HU"/>
        </w:rPr>
        <w:t xml:space="preserve"> Ezen túlmenően a faktoring kezesség beváltása a követelés esedékessé válásának időpontjától számított 90 nap eltelte után kezdeményezhető. Az idő előtt érkező kérelmek elbírálása a 90 nap leteltéig szünetel.</w:t>
      </w:r>
    </w:p>
    <w:p w14:paraId="380E9EDE" w14:textId="4FA62F50" w:rsidR="00B70636" w:rsidRPr="00CC1CA8" w:rsidRDefault="00150CE4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23F17A26" w14:textId="3571DE37" w:rsidR="006A6E63" w:rsidRPr="00CC1CA8" w:rsidRDefault="006A6E63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követelése esedékessé válását követően köteles haladéktalanul megindítani </w:t>
      </w:r>
      <w:r w:rsidR="00970BC6">
        <w:rPr>
          <w:rFonts w:ascii="Arial" w:hAnsi="Arial" w:cs="Arial"/>
          <w:sz w:val="18"/>
          <w:szCs w:val="18"/>
          <w:lang w:val="hu-HU"/>
        </w:rPr>
        <w:t>a követelésérvényesítést célzó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eljárásokat, mellyel kapcsolatos iratok megküldését az Alapítvány jogosult a beváltás feltételéül szabni.</w:t>
      </w:r>
    </w:p>
    <w:p w14:paraId="01E7D2EF" w14:textId="718EC858" w:rsidR="00B70636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150E53" w:rsidRPr="00CC1CA8">
        <w:rPr>
          <w:rFonts w:ascii="Arial" w:hAnsi="Arial" w:cs="Arial"/>
          <w:sz w:val="18"/>
          <w:szCs w:val="18"/>
          <w:lang w:val="hu-HU"/>
        </w:rPr>
        <w:t>a teljes követelés esedékessé válási időpontját (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4</w:t>
      </w:r>
      <w:r w:rsidR="00150E53" w:rsidRPr="00CC1CA8">
        <w:rPr>
          <w:rFonts w:ascii="Arial" w:hAnsi="Arial" w:cs="Arial"/>
          <w:sz w:val="18"/>
          <w:szCs w:val="18"/>
          <w:lang w:val="hu-HU"/>
        </w:rPr>
        <w:t>-</w:t>
      </w:r>
      <w:r w:rsidR="009748E2" w:rsidRPr="00CC1CA8">
        <w:rPr>
          <w:rFonts w:ascii="Arial" w:hAnsi="Arial" w:cs="Arial"/>
          <w:sz w:val="18"/>
          <w:szCs w:val="18"/>
          <w:lang w:val="hu-HU"/>
        </w:rPr>
        <w:t>1</w:t>
      </w:r>
      <w:r w:rsidR="009748E2">
        <w:rPr>
          <w:rFonts w:ascii="Arial" w:hAnsi="Arial" w:cs="Arial"/>
          <w:sz w:val="18"/>
          <w:szCs w:val="18"/>
          <w:lang w:val="hu-HU"/>
        </w:rPr>
        <w:t>5</w:t>
      </w:r>
      <w:r w:rsidR="00150E53" w:rsidRPr="00CC1CA8">
        <w:rPr>
          <w:rFonts w:ascii="Arial" w:hAnsi="Arial" w:cs="Arial"/>
          <w:sz w:val="18"/>
          <w:szCs w:val="18"/>
          <w:lang w:val="hu-HU"/>
        </w:rPr>
        <w:t xml:space="preserve">. pont)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F30383" w:rsidRPr="00CC1CA8">
        <w:rPr>
          <w:rFonts w:ascii="Arial" w:hAnsi="Arial" w:cs="Arial"/>
          <w:sz w:val="18"/>
          <w:szCs w:val="18"/>
          <w:lang w:val="hu-HU"/>
        </w:rPr>
        <w:t>210</w:t>
      </w:r>
      <w:r w:rsidR="0039480B" w:rsidRPr="00CC1CA8">
        <w:rPr>
          <w:rFonts w:ascii="Arial" w:hAnsi="Arial" w:cs="Arial"/>
          <w:sz w:val="18"/>
          <w:szCs w:val="18"/>
          <w:lang w:val="hu-HU"/>
        </w:rPr>
        <w:t>.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nap</w:t>
      </w:r>
      <w:r w:rsidR="0009099E" w:rsidRPr="00CC1CA8">
        <w:rPr>
          <w:rFonts w:ascii="Arial" w:hAnsi="Arial" w:cs="Arial"/>
          <w:sz w:val="18"/>
          <w:szCs w:val="18"/>
          <w:lang w:val="hu-HU"/>
        </w:rPr>
        <w:t>ig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érvényesíthető. Ez a határidő meghosszabbodhat az Üzletszabályzatban írtak szerint.</w:t>
      </w:r>
    </w:p>
    <w:p w14:paraId="3593C71C" w14:textId="77777777" w:rsidR="002A19BE" w:rsidRPr="00CC1CA8" w:rsidRDefault="002A19BE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becsatolni:</w:t>
      </w:r>
    </w:p>
    <w:p w14:paraId="014A3E11" w14:textId="77777777" w:rsidR="002A19BE" w:rsidRPr="00CC1CA8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egyéb biztosítékok alapításával kapcsolatos dokumentumok (zálogjog bejegyzési határozat, tanúsítvány stb.),</w:t>
      </w:r>
    </w:p>
    <w:p w14:paraId="183BC1D5" w14:textId="03EBA083" w:rsidR="002A19BE" w:rsidRDefault="002A19BE" w:rsidP="004D3D56">
      <w:pPr>
        <w:pStyle w:val="NormalSsz1"/>
        <w:numPr>
          <w:ilvl w:val="0"/>
          <w:numId w:val="13"/>
        </w:numPr>
        <w:tabs>
          <w:tab w:val="left" w:pos="851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követelésekkel kapcsolatos dokumentációk:</w:t>
      </w:r>
    </w:p>
    <w:p w14:paraId="4787CFF0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faktorált számlák, számlaösszesítők, ezek alapját képező szerződések,</w:t>
      </w:r>
    </w:p>
    <w:p w14:paraId="4040FB13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számlákra vonatkozó pénzügyi intézményi formai és tartalmi előírások teljesülésének igazolásai,</w:t>
      </w:r>
    </w:p>
    <w:p w14:paraId="17ECD1A2" w14:textId="5C79E346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kapcsolódó </w:t>
      </w:r>
      <w:r w:rsidR="008F226D">
        <w:rPr>
          <w:rFonts w:ascii="Arial" w:hAnsi="Arial" w:cs="Arial"/>
          <w:sz w:val="18"/>
          <w:szCs w:val="18"/>
          <w:lang w:val="hu-HU"/>
        </w:rPr>
        <w:t xml:space="preserve">szerződésátruházási vagy követelés </w:t>
      </w:r>
      <w:r w:rsidRPr="00CC1CA8">
        <w:rPr>
          <w:rFonts w:ascii="Arial" w:hAnsi="Arial" w:cs="Arial"/>
          <w:sz w:val="18"/>
          <w:szCs w:val="18"/>
          <w:lang w:val="hu-HU"/>
        </w:rPr>
        <w:t>engedményezés</w:t>
      </w:r>
      <w:r w:rsidR="00590EE9">
        <w:rPr>
          <w:rFonts w:ascii="Arial" w:hAnsi="Arial" w:cs="Arial"/>
          <w:sz w:val="18"/>
          <w:szCs w:val="18"/>
          <w:lang w:val="hu-HU"/>
        </w:rPr>
        <w:t>ről szóló</w:t>
      </w:r>
      <w:r w:rsidRPr="00CC1CA8">
        <w:rPr>
          <w:rFonts w:ascii="Arial" w:hAnsi="Arial" w:cs="Arial"/>
          <w:sz w:val="18"/>
          <w:szCs w:val="18"/>
          <w:lang w:val="hu-HU"/>
        </w:rPr>
        <w:t>nyilatkozatok és azok visszaigazolásai,</w:t>
      </w:r>
    </w:p>
    <w:p w14:paraId="7333037F" w14:textId="77777777" w:rsidR="002A19BE" w:rsidRPr="00CC1CA8" w:rsidRDefault="002A19BE" w:rsidP="004D3D56">
      <w:pPr>
        <w:pStyle w:val="NormalSsz1"/>
        <w:numPr>
          <w:ilvl w:val="1"/>
          <w:numId w:val="7"/>
        </w:numPr>
        <w:spacing w:before="0" w:after="0"/>
        <w:ind w:left="709" w:hanging="142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számlák mögötti áruszállítás és/vagy szolgáltatás teljesítésének igazolásai (fuvarlevél, teljesítési igazolás stb.).</w:t>
      </w:r>
    </w:p>
    <w:p w14:paraId="071A2291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kötelezettségvállalás körülményeit összefoglaló szöveges tájékoztató, </w:t>
      </w:r>
    </w:p>
    <w:p w14:paraId="10ACB8D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szerződés felmondását, illetve a lejáratot követően küldött felszólítást és a szabályszerű kézbesítést igazoló irat az adós, a dologi és személyi kötelezettek vonatkozásában,</w:t>
      </w:r>
    </w:p>
    <w:p w14:paraId="4D3CEC39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a visszkereseti jog gyakorlását igazoló okiratok,</w:t>
      </w:r>
    </w:p>
    <w:p w14:paraId="353F1CCD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sikertelen inkasszók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at igazoló dokumentumok</w:t>
      </w:r>
      <w:r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5140B2FF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hátraléki kimutatás a szerződés kapcsán fennálló és a beváltási kérelemben szereplő követelésállományról,</w:t>
      </w:r>
    </w:p>
    <w:p w14:paraId="3A1FC843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faktoring szerződésben rögzített (hatálybalépési, folyósítási) feltételek beálltát bizonyító irat(ok) és a folyósítás(ok) tényét igazoló számviteli bizonylatok, </w:t>
      </w:r>
    </w:p>
    <w:p w14:paraId="70529432" w14:textId="108174A1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visszaigazolása,</w:t>
      </w:r>
      <w:r w:rsidR="00CB3129">
        <w:rPr>
          <w:rFonts w:ascii="Arial" w:hAnsi="Arial" w:cs="Arial"/>
          <w:sz w:val="18"/>
          <w:szCs w:val="18"/>
          <w:lang w:val="hu-HU"/>
        </w:rPr>
        <w:t xml:space="preserve"> </w:t>
      </w:r>
      <w:r w:rsidR="00CB3129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l hozott joger</w:t>
      </w:r>
      <w:r w:rsidR="00CB3129" w:rsidRPr="00C52F8C">
        <w:rPr>
          <w:rFonts w:ascii="Arial" w:hAnsi="Arial" w:cs="Arial" w:hint="eastAsia"/>
          <w:sz w:val="18"/>
          <w:szCs w:val="18"/>
        </w:rPr>
        <w:t>ő</w:t>
      </w:r>
      <w:r w:rsidR="00CB3129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4E0EF9">
        <w:rPr>
          <w:rFonts w:ascii="Arial" w:hAnsi="Arial" w:cs="Arial"/>
          <w:sz w:val="18"/>
          <w:szCs w:val="18"/>
        </w:rPr>
        <w:t>,</w:t>
      </w:r>
    </w:p>
    <w:p w14:paraId="2B0C248C" w14:textId="77777777" w:rsidR="002A19BE" w:rsidRPr="00CC1CA8" w:rsidRDefault="002A19BE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kötelezettségvállalást célzó döntés-előkészítő előterjesztése és határozata, amennyiben </w:t>
      </w:r>
      <w:r w:rsidR="004C7EFE" w:rsidRPr="00CC1CA8">
        <w:rPr>
          <w:rFonts w:ascii="Arial" w:hAnsi="Arial" w:cs="Arial"/>
          <w:sz w:val="18"/>
          <w:szCs w:val="18"/>
          <w:lang w:val="hu-HU"/>
        </w:rPr>
        <w:t>az Igénylő Lap mellékleteként nem került benyújtásra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,  </w:t>
      </w:r>
    </w:p>
    <w:p w14:paraId="0BE2D55F" w14:textId="50A114E6" w:rsidR="006E4E1D" w:rsidRPr="00CC1CA8" w:rsidRDefault="00FA4836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A36BF2">
        <w:rPr>
          <w:rFonts w:ascii="Arial" w:hAnsi="Arial" w:cs="Arial"/>
          <w:sz w:val="18"/>
          <w:szCs w:val="18"/>
          <w:lang w:val="hu-HU"/>
        </w:rPr>
        <w:t>a döntés-el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készítés során a vállalkozásról a pénzügyi intézmény által lekért cégkivonat/cégtörténet, vagy e lekérés eredményét és id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pontját egyértelm</w:t>
      </w:r>
      <w:r w:rsidRPr="00A36BF2">
        <w:rPr>
          <w:rFonts w:ascii="Arial" w:hAnsi="Arial" w:cs="Arial" w:hint="eastAsia"/>
          <w:sz w:val="18"/>
          <w:szCs w:val="18"/>
          <w:lang w:val="hu-HU"/>
        </w:rPr>
        <w:t>ű</w:t>
      </w:r>
      <w:r w:rsidRPr="00A36BF2">
        <w:rPr>
          <w:rFonts w:ascii="Arial" w:hAnsi="Arial" w:cs="Arial"/>
          <w:sz w:val="18"/>
          <w:szCs w:val="18"/>
          <w:lang w:val="hu-HU"/>
        </w:rPr>
        <w:t>en tartalmazó képerny</w:t>
      </w:r>
      <w:r w:rsidRPr="00A36BF2">
        <w:rPr>
          <w:rFonts w:ascii="Arial" w:hAnsi="Arial" w:cs="Arial" w:hint="eastAsia"/>
          <w:sz w:val="18"/>
          <w:szCs w:val="18"/>
          <w:lang w:val="hu-HU"/>
        </w:rPr>
        <w:t>ő</w:t>
      </w:r>
      <w:r w:rsidRPr="00A36BF2">
        <w:rPr>
          <w:rFonts w:ascii="Arial" w:hAnsi="Arial" w:cs="Arial"/>
          <w:sz w:val="18"/>
          <w:szCs w:val="18"/>
          <w:lang w:val="hu-HU"/>
        </w:rPr>
        <w:t>kép</w:t>
      </w:r>
      <w:r w:rsidR="006E4E1D" w:rsidRPr="00CC1CA8">
        <w:rPr>
          <w:rFonts w:ascii="Arial" w:hAnsi="Arial" w:cs="Arial"/>
          <w:sz w:val="18"/>
          <w:szCs w:val="18"/>
          <w:lang w:val="hu-HU"/>
        </w:rPr>
        <w:t>,</w:t>
      </w:r>
    </w:p>
    <w:p w14:paraId="18204E11" w14:textId="77777777" w:rsidR="002A19BE" w:rsidRPr="00CC1CA8" w:rsidRDefault="006E4E1D" w:rsidP="004D3D56">
      <w:pPr>
        <w:pStyle w:val="NormalSsz1"/>
        <w:numPr>
          <w:ilvl w:val="0"/>
          <w:numId w:val="13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faktoring szerződés hitelbiztosítéki nyilvántartásba történt bejegyzésének igazolása</w:t>
      </w:r>
      <w:r w:rsidR="002A19BE" w:rsidRPr="00CC1CA8">
        <w:rPr>
          <w:rFonts w:ascii="Arial" w:hAnsi="Arial" w:cs="Arial"/>
          <w:sz w:val="18"/>
          <w:szCs w:val="18"/>
          <w:lang w:val="hu-HU"/>
        </w:rPr>
        <w:t>.</w:t>
      </w:r>
    </w:p>
    <w:p w14:paraId="2A5FB0A1" w14:textId="0C416616" w:rsidR="007E1F9B" w:rsidRDefault="001B77CF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337651" w:rsidRPr="00CC1CA8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 xml:space="preserve">beváltásakor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az Üzletszab</w:t>
      </w:r>
      <w:r w:rsidR="007E1F9B" w:rsidRPr="00CC1CA8">
        <w:rPr>
          <w:rFonts w:ascii="Arial" w:hAnsi="Arial" w:cs="Arial"/>
          <w:sz w:val="18"/>
          <w:szCs w:val="18"/>
          <w:lang w:val="hu-HU"/>
        </w:rPr>
        <w:t>ályzat X</w:t>
      </w:r>
      <w:r w:rsidR="00337651" w:rsidRPr="00CC1CA8">
        <w:rPr>
          <w:rFonts w:ascii="Arial" w:hAnsi="Arial" w:cs="Arial"/>
          <w:sz w:val="18"/>
          <w:szCs w:val="18"/>
          <w:lang w:val="hu-HU"/>
        </w:rPr>
        <w:t>I.3</w:t>
      </w:r>
      <w:r w:rsidR="006259E4" w:rsidRPr="00CC1CA8">
        <w:rPr>
          <w:rFonts w:ascii="Arial" w:hAnsi="Arial" w:cs="Arial"/>
          <w:sz w:val="18"/>
          <w:szCs w:val="18"/>
          <w:lang w:val="hu-HU"/>
        </w:rPr>
        <w:t>.</w:t>
      </w:r>
      <w:r w:rsidR="00337651" w:rsidRPr="00CC1CA8">
        <w:rPr>
          <w:rFonts w:ascii="Arial" w:hAnsi="Arial" w:cs="Arial"/>
          <w:sz w:val="18"/>
          <w:szCs w:val="18"/>
          <w:lang w:val="hu-HU"/>
        </w:rPr>
        <w:t>3.</w:t>
      </w:r>
      <w:r w:rsidR="006259E4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337651" w:rsidRPr="00CC1CA8">
        <w:rPr>
          <w:rFonts w:ascii="Arial" w:hAnsi="Arial" w:cs="Arial"/>
          <w:sz w:val="18"/>
          <w:szCs w:val="18"/>
          <w:lang w:val="hu-HU"/>
        </w:rPr>
        <w:t>pontjában rög</w:t>
      </w:r>
      <w:r w:rsidR="007E1F9B" w:rsidRPr="00CC1CA8">
        <w:rPr>
          <w:rFonts w:ascii="Arial" w:hAnsi="Arial" w:cs="Arial"/>
          <w:sz w:val="18"/>
          <w:szCs w:val="18"/>
          <w:lang w:val="hu-HU"/>
        </w:rPr>
        <w:t>z</w:t>
      </w:r>
      <w:r w:rsidR="00337651" w:rsidRPr="00CC1CA8">
        <w:rPr>
          <w:rFonts w:ascii="Arial" w:hAnsi="Arial" w:cs="Arial"/>
          <w:sz w:val="18"/>
          <w:szCs w:val="18"/>
          <w:lang w:val="hu-HU"/>
        </w:rPr>
        <w:t>í</w:t>
      </w:r>
      <w:r w:rsidR="007E1F9B" w:rsidRPr="00CC1CA8">
        <w:rPr>
          <w:rFonts w:ascii="Arial" w:hAnsi="Arial" w:cs="Arial"/>
          <w:sz w:val="18"/>
          <w:szCs w:val="18"/>
          <w:lang w:val="hu-HU"/>
        </w:rPr>
        <w:t>tett további dokumentumok benyújtása is szükséges.</w:t>
      </w:r>
    </w:p>
    <w:p w14:paraId="368CD67E" w14:textId="0A8DF79F" w:rsidR="000E1DC6" w:rsidRPr="00FC4C4C" w:rsidRDefault="006646A5" w:rsidP="004D3D5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mellékleteként,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4752D6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29FB40A3" w14:textId="507CAC3D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6EB68DC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813D7A" w:rsidRPr="00CC1CA8">
        <w:rPr>
          <w:rFonts w:ascii="Arial" w:hAnsi="Arial" w:cs="Arial"/>
          <w:sz w:val="18"/>
          <w:szCs w:val="18"/>
          <w:lang w:val="hu-HU"/>
        </w:rPr>
        <w:t>ség</w:t>
      </w:r>
      <w:r w:rsidRPr="00CC1CA8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302289E1" w14:textId="77777777" w:rsidR="00415187" w:rsidRPr="00CC1CA8" w:rsidRDefault="00415187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38103AEE" w14:textId="77777777" w:rsidR="00746CCB" w:rsidRPr="00CC1CA8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 beváltási határidő letelt,</w:t>
      </w:r>
    </w:p>
    <w:p w14:paraId="61B18D28" w14:textId="66A91122" w:rsidR="00746CCB" w:rsidRDefault="00746CCB" w:rsidP="004D3D56">
      <w:pPr>
        <w:pStyle w:val="NormalSsz1"/>
        <w:numPr>
          <w:ilvl w:val="0"/>
          <w:numId w:val="8"/>
        </w:numPr>
        <w:spacing w:before="0" w:after="0"/>
        <w:ind w:left="709" w:hanging="284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CE4EFC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CE4EFC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CE4EFC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7381296B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3D1EF1AC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Lehívási Lap és mellékletei nem felelnek meg az Üzletszabályzatban foglaltaknak,</w:t>
      </w:r>
    </w:p>
    <w:p w14:paraId="672A1A70" w14:textId="7777777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eleget,</w:t>
      </w:r>
    </w:p>
    <w:p w14:paraId="55453B6A" w14:textId="2EDD2B47" w:rsidR="00415187" w:rsidRPr="00CC1CA8" w:rsidRDefault="00415187" w:rsidP="004D3D56">
      <w:pPr>
        <w:pStyle w:val="Listaszerbekezds"/>
        <w:numPr>
          <w:ilvl w:val="0"/>
          <w:numId w:val="11"/>
        </w:numPr>
        <w:ind w:left="709" w:hanging="284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elmulasztotta beszerezni a kezesség beváltásának meghosszabbítása esetén az </w:t>
      </w:r>
      <w:r w:rsidR="00D2684E" w:rsidRPr="00CC1CA8">
        <w:rPr>
          <w:rFonts w:ascii="Arial" w:hAnsi="Arial" w:cs="Arial"/>
          <w:sz w:val="18"/>
          <w:szCs w:val="18"/>
        </w:rPr>
        <w:t>Ü</w:t>
      </w:r>
      <w:r w:rsidRPr="00CC1CA8">
        <w:rPr>
          <w:rFonts w:ascii="Arial" w:hAnsi="Arial" w:cs="Arial"/>
          <w:sz w:val="18"/>
          <w:szCs w:val="18"/>
        </w:rPr>
        <w:t>zletszabályzat XI.</w:t>
      </w:r>
      <w:r w:rsidR="00BC3755">
        <w:rPr>
          <w:rFonts w:ascii="Arial" w:hAnsi="Arial" w:cs="Arial"/>
          <w:sz w:val="18"/>
          <w:szCs w:val="18"/>
        </w:rPr>
        <w:t>1.4</w:t>
      </w:r>
      <w:r w:rsidRPr="00CC1CA8">
        <w:rPr>
          <w:rFonts w:ascii="Arial" w:hAnsi="Arial" w:cs="Arial"/>
          <w:sz w:val="18"/>
          <w:szCs w:val="18"/>
        </w:rPr>
        <w:t>. pontjában rögzített előzetes hozzájárulást.</w:t>
      </w:r>
    </w:p>
    <w:p w14:paraId="5C052D98" w14:textId="77777777" w:rsidR="00415187" w:rsidRPr="00CC1CA8" w:rsidRDefault="0041518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Amennyiben az Alapítvány a kezesi helytállási kötelezettségét az Üzletszabályzatban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4DB30320" w14:textId="49BDB030" w:rsidR="00B70636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31A8EE74" w14:textId="482A1A78" w:rsidR="00F148F1" w:rsidRDefault="00F148F1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734B0571" w14:textId="3AE3E94B" w:rsidR="00902029" w:rsidRDefault="00902029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1B77CF">
        <w:rPr>
          <w:rFonts w:ascii="Arial" w:hAnsi="Arial" w:cs="Arial"/>
          <w:sz w:val="18"/>
          <w:szCs w:val="18"/>
          <w:lang w:val="hu-HU"/>
        </w:rPr>
        <w:t>Felek rögzítik, hogy a követelés elévülésére az általános szabályok az irányadók, azonban a Ptk</w:t>
      </w:r>
      <w:r w:rsidR="006E372B">
        <w:rPr>
          <w:rFonts w:ascii="Arial" w:hAnsi="Arial" w:cs="Arial"/>
          <w:sz w:val="18"/>
          <w:szCs w:val="18"/>
          <w:lang w:val="hu-HU"/>
        </w:rPr>
        <w:t>.</w:t>
      </w:r>
      <w:r w:rsidRPr="001B77CF">
        <w:rPr>
          <w:rFonts w:ascii="Arial" w:hAnsi="Arial" w:cs="Arial"/>
          <w:sz w:val="18"/>
          <w:szCs w:val="18"/>
          <w:lang w:val="hu-HU"/>
        </w:rPr>
        <w:t xml:space="preserve"> 6:1. § (3) bekezdése alapján megállapodnak abban, hogy a kötelezett (pl.: adós, egyéb dologi és személyi kötelezett) nem teljesítése esetén a részére küldött teljesítésre vonatkozó írásbeli felszólítás is mindenkor megszakítja az elévülési id</w:t>
      </w:r>
      <w:r w:rsidRPr="001B77CF">
        <w:rPr>
          <w:rFonts w:ascii="Arial" w:hAnsi="Arial" w:cs="Arial" w:hint="eastAsia"/>
          <w:sz w:val="18"/>
          <w:szCs w:val="18"/>
          <w:lang w:val="hu-HU"/>
        </w:rPr>
        <w:t>ő</w:t>
      </w:r>
      <w:r w:rsidRPr="001B77CF">
        <w:rPr>
          <w:rFonts w:ascii="Arial" w:hAnsi="Arial" w:cs="Arial"/>
          <w:sz w:val="18"/>
          <w:szCs w:val="18"/>
          <w:lang w:val="hu-HU"/>
        </w:rPr>
        <w:t>t.</w:t>
      </w:r>
    </w:p>
    <w:p w14:paraId="678BB378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 pénzügyi intézmény vállalja, hogy az Alapítvány által megfizetett kezesség összegét, annak jogcímei szerint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6:46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CC1CA8">
        <w:rPr>
          <w:rFonts w:ascii="Arial" w:hAnsi="Arial" w:cs="Arial"/>
          <w:sz w:val="18"/>
          <w:szCs w:val="18"/>
          <w:lang w:val="hu-HU"/>
        </w:rPr>
        <w:t>§-ban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</w:t>
      </w:r>
    </w:p>
    <w:p w14:paraId="7571026B" w14:textId="7777777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E14D3C" w:rsidRPr="00CC1CA8">
        <w:rPr>
          <w:rFonts w:ascii="Arial" w:hAnsi="Arial" w:cs="Arial"/>
          <w:sz w:val="18"/>
          <w:szCs w:val="18"/>
          <w:lang w:val="hu-HU"/>
        </w:rPr>
        <w:t>6:417</w:t>
      </w:r>
      <w:r w:rsidR="00B11E99" w:rsidRPr="00CC1CA8">
        <w:rPr>
          <w:rFonts w:ascii="Arial" w:hAnsi="Arial" w:cs="Arial"/>
          <w:sz w:val="18"/>
          <w:szCs w:val="18"/>
          <w:lang w:val="hu-HU"/>
        </w:rPr>
        <w:t>.</w:t>
      </w:r>
      <w:r w:rsidR="00E14D3C" w:rsidRPr="00CC1CA8">
        <w:rPr>
          <w:rFonts w:ascii="Arial" w:hAnsi="Arial" w:cs="Arial"/>
          <w:sz w:val="18"/>
          <w:szCs w:val="18"/>
          <w:lang w:val="hu-HU"/>
        </w:rPr>
        <w:t xml:space="preserve"> § (1) bekezdés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rendelkezéseitől eltérően </w:t>
      </w:r>
      <w:r w:rsidR="0039480B" w:rsidRPr="00CC1CA8">
        <w:rPr>
          <w:rFonts w:ascii="Arial" w:hAnsi="Arial" w:cs="Arial"/>
          <w:sz w:val="18"/>
          <w:szCs w:val="18"/>
          <w:lang w:val="hu-HU"/>
        </w:rPr>
        <w:t>–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Kezességi Levél kifejezetten kimondja. </w:t>
      </w:r>
    </w:p>
    <w:p w14:paraId="0B76BE6E" w14:textId="49E75DC7" w:rsidR="00B70636" w:rsidRPr="00CC1CA8" w:rsidRDefault="00B70636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költségek)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összegére, a kezelési költségre, a késedelmi kamatokra.</w:t>
      </w:r>
    </w:p>
    <w:p w14:paraId="657449AA" w14:textId="77777777" w:rsidR="00415187" w:rsidRPr="00CC1CA8" w:rsidRDefault="00415187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lastRenderedPageBreak/>
        <w:t xml:space="preserve">Az Alapítvány a Ptk. 6:427. § (1) bekezdése alapján a pénzügyi intézmény irányában más kezesekkel egyetemlegesen felel azzal, hogy amennyiben </w:t>
      </w:r>
    </w:p>
    <w:p w14:paraId="393AF871" w14:textId="77777777" w:rsidR="00415187" w:rsidRPr="00CC1CA8" w:rsidRDefault="0041518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066B99" w:rsidRPr="00CC1CA8">
        <w:rPr>
          <w:rFonts w:ascii="Arial" w:hAnsi="Arial" w:cs="Arial"/>
          <w:sz w:val="18"/>
          <w:szCs w:val="18"/>
        </w:rPr>
        <w:t xml:space="preserve">t követően, </w:t>
      </w:r>
      <w:r w:rsidRPr="00CC1CA8">
        <w:rPr>
          <w:rFonts w:ascii="Arial" w:hAnsi="Arial" w:cs="Arial"/>
          <w:sz w:val="18"/>
          <w:szCs w:val="18"/>
        </w:rPr>
        <w:t>utólag vállalja a kezességet,</w:t>
      </w:r>
    </w:p>
    <w:p w14:paraId="2659E04B" w14:textId="77777777" w:rsidR="00415187" w:rsidRPr="004D3D56" w:rsidRDefault="003D65C7" w:rsidP="004D3D56">
      <w:pPr>
        <w:pStyle w:val="Listaszerbekezds"/>
        <w:numPr>
          <w:ilvl w:val="0"/>
          <w:numId w:val="12"/>
        </w:numPr>
        <w:ind w:left="709" w:hanging="283"/>
        <w:jc w:val="both"/>
        <w:rPr>
          <w:rFonts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időpontjától.</w:t>
      </w:r>
    </w:p>
    <w:p w14:paraId="60FE5D88" w14:textId="77777777" w:rsidR="001E06D7" w:rsidRPr="00CC1CA8" w:rsidRDefault="001E06D7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195724C4" w14:textId="22B8E2FD" w:rsidR="00B70636" w:rsidRPr="00CC1CA8" w:rsidRDefault="005D66CA" w:rsidP="004D3D56">
      <w:pPr>
        <w:pStyle w:val="NormalSsz1"/>
        <w:numPr>
          <w:ilvl w:val="0"/>
          <w:numId w:val="4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 xml:space="preserve"> követelésérvényesítési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eljárás során befolyó bevételek arányos része az Alapítványt illeti. </w:t>
      </w:r>
      <w:r w:rsidR="00B70636" w:rsidRPr="00CC1CA8">
        <w:rPr>
          <w:rFonts w:ascii="Arial" w:hAnsi="Arial" w:cs="Arial"/>
          <w:sz w:val="18"/>
          <w:szCs w:val="18"/>
          <w:lang w:val="hu-HU"/>
        </w:rPr>
        <w:t xml:space="preserve">A pénzügyi intézmény a követelésérvényesítési eljárás során hozzá befolyó megtérülésről, részmegtérülés esetén az egyes részletek pénzügyi intézményhez történő megfizetésétől számított 15 napon belül értesíteni köteles az Alapítványt. Az értesítés alapján az Alapítvány </w:t>
      </w:r>
      <w:r>
        <w:rPr>
          <w:rFonts w:ascii="Arial" w:hAnsi="Arial" w:cs="Arial"/>
          <w:sz w:val="18"/>
          <w:szCs w:val="18"/>
        </w:rPr>
        <w:t xml:space="preserve">megvizsgálja az elszámolást és annak elfogadásáról értesíti a pénzügyi intézményt, aki az értesítés </w:t>
      </w:r>
      <w:r w:rsidR="00B70636" w:rsidRPr="00CC1CA8">
        <w:rPr>
          <w:rFonts w:ascii="Arial" w:hAnsi="Arial" w:cs="Arial"/>
          <w:sz w:val="18"/>
          <w:szCs w:val="18"/>
          <w:lang w:val="hu-HU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8D5FEB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3F2A3E6E" w14:textId="77777777" w:rsidR="00B70636" w:rsidRPr="00CC1CA8" w:rsidRDefault="00B70636" w:rsidP="004D3D56">
      <w:pPr>
        <w:pStyle w:val="Listaszerbekezds"/>
        <w:numPr>
          <w:ilvl w:val="0"/>
          <w:numId w:val="4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behajtási eljárás befejezését, vagy a követelés pénzügyi intézménnyel történő együttes engedményezését követő 30 napon belül, de legkésőbb a kezesség érvényesítésétől számított 3 év elteltével a pénzügyi intézmény teljes körű elszámolást (záró elszámolást) készít az adóstól behajtott követelésekről, az Alapítványnak átutalt összegekről, az elszámolt behajtási költségekről, a behajtási tevékenységéről, a megtérülés mértékéről, kérve az Alapítványtól a záró elszámolás elfogadását. A behajtási eljárás akkor tekinthető befejezettnek, ha a követelés teljesen megtérült vagy a követelés fennmaradó része dokumentáltan behajthatatlanná vált. A behajthatatlanná történő minősítésnél a számvitelről szóló 2000. évi C. törvény rendelkezései az irányadók. </w:t>
      </w:r>
      <w:r w:rsidR="00E4361E" w:rsidRPr="00CC1CA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52A9E9E3" w14:textId="77777777" w:rsidR="00B11E99" w:rsidRPr="00CC1CA8" w:rsidRDefault="00B11E99" w:rsidP="004D3D56">
      <w:pPr>
        <w:pStyle w:val="Listaszerbekezds"/>
        <w:numPr>
          <w:ilvl w:val="0"/>
          <w:numId w:val="4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 xml:space="preserve">A pénzügyi intézmény </w:t>
      </w:r>
      <w:r w:rsidR="00DC2F7E" w:rsidRPr="00CC1CA8">
        <w:rPr>
          <w:rFonts w:ascii="Arial" w:hAnsi="Arial" w:cs="Arial"/>
          <w:sz w:val="18"/>
          <w:szCs w:val="18"/>
        </w:rPr>
        <w:t xml:space="preserve">és a vállalkozás </w:t>
      </w:r>
      <w:r w:rsidRPr="00CC1CA8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3D65C7" w:rsidRPr="00CC1CA8">
        <w:rPr>
          <w:rFonts w:ascii="Arial" w:hAnsi="Arial" w:cs="Arial"/>
          <w:sz w:val="18"/>
          <w:szCs w:val="18"/>
        </w:rPr>
        <w:t>i rendelkezéseinek alkalmazását:</w:t>
      </w:r>
    </w:p>
    <w:p w14:paraId="5B7E80D4" w14:textId="369033B6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kizárja a Ptk. 6:63. § (5) bekezdése alkalmazását.</w:t>
      </w:r>
    </w:p>
    <w:p w14:paraId="1F213D47" w14:textId="77777777" w:rsidR="003D65C7" w:rsidRPr="00CC1CA8" w:rsidRDefault="00B11E99" w:rsidP="004D3D56">
      <w:pPr>
        <w:pStyle w:val="Listaszerbekezds"/>
        <w:numPr>
          <w:ilvl w:val="1"/>
          <w:numId w:val="4"/>
        </w:numPr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1CA8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93894B9" w14:textId="77777777" w:rsidR="001F268B" w:rsidRDefault="001F268B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6AAE656E" w14:textId="77777777" w:rsidR="004D3D56" w:rsidRDefault="004D3D5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F762033" w14:textId="77777777" w:rsidR="00A532C6" w:rsidRDefault="00A532C6" w:rsidP="004D3D56">
      <w:pPr>
        <w:pStyle w:val="NormalSsz1"/>
        <w:spacing w:before="0" w:after="0"/>
        <w:ind w:left="0" w:firstLine="0"/>
        <w:rPr>
          <w:rFonts w:ascii="Arial" w:hAnsi="Arial" w:cs="Arial"/>
          <w:b/>
          <w:sz w:val="18"/>
          <w:szCs w:val="16"/>
          <w:lang w:val="hu-HU"/>
        </w:rPr>
      </w:pPr>
    </w:p>
    <w:p w14:paraId="31BE2C4E" w14:textId="4746764A" w:rsidR="00B70636" w:rsidRPr="00CC1CA8" w:rsidRDefault="00B70636" w:rsidP="004D3D56">
      <w:pPr>
        <w:pStyle w:val="NormalSsz1"/>
        <w:spacing w:before="0" w:after="0"/>
        <w:ind w:left="0" w:firstLine="0"/>
        <w:rPr>
          <w:rFonts w:ascii="Arial" w:hAnsi="Arial" w:cs="Arial"/>
          <w:sz w:val="18"/>
          <w:szCs w:val="16"/>
          <w:lang w:val="hu-HU"/>
        </w:rPr>
      </w:pP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Az alapítványi kezesség további, és részletes feltételei az Alapítvány Üzletszabályzatában kerültek rögzítésre, s a jelen Kezességi Általános Szerződési Feltételek </w:t>
      </w:r>
      <w:r w:rsidR="005D66CA">
        <w:rPr>
          <w:rFonts w:ascii="Arial" w:hAnsi="Arial" w:cs="Arial"/>
          <w:b/>
          <w:sz w:val="18"/>
          <w:szCs w:val="16"/>
          <w:lang w:val="hu-HU"/>
        </w:rPr>
        <w:t>kizárólag az Alapítvány Üzletszabályzatával</w:t>
      </w:r>
      <w:r w:rsidRPr="00CC1CA8">
        <w:rPr>
          <w:rFonts w:ascii="Arial" w:hAnsi="Arial" w:cs="Arial"/>
          <w:b/>
          <w:sz w:val="18"/>
          <w:szCs w:val="16"/>
          <w:lang w:val="hu-HU"/>
        </w:rPr>
        <w:t xml:space="preserve"> együtt </w:t>
      </w:r>
      <w:r w:rsidR="00EC7F68">
        <w:rPr>
          <w:rFonts w:ascii="Arial" w:hAnsi="Arial" w:cs="Arial"/>
          <w:b/>
          <w:sz w:val="18"/>
          <w:szCs w:val="16"/>
          <w:lang w:val="hu-HU"/>
        </w:rPr>
        <w:t>irányadóak</w:t>
      </w:r>
      <w:r w:rsidRPr="00CC1CA8">
        <w:rPr>
          <w:rFonts w:ascii="Arial" w:hAnsi="Arial" w:cs="Arial"/>
          <w:sz w:val="18"/>
          <w:szCs w:val="16"/>
          <w:lang w:val="hu-HU"/>
        </w:rPr>
        <w:t>.</w:t>
      </w:r>
    </w:p>
    <w:p w14:paraId="67B675C3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5DD0BA57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</w:p>
    <w:p w14:paraId="2B898927" w14:textId="316613ED" w:rsidR="00CC05CC" w:rsidRPr="00CC1CA8" w:rsidRDefault="00B70636" w:rsidP="004D3D56">
      <w:pPr>
        <w:spacing w:before="0" w:after="0"/>
        <w:ind w:left="0"/>
        <w:rPr>
          <w:rFonts w:ascii="Arial" w:hAnsi="Arial" w:cs="Arial"/>
          <w:b/>
          <w:sz w:val="16"/>
          <w:szCs w:val="16"/>
          <w:lang w:val="hu-HU"/>
        </w:rPr>
      </w:pPr>
      <w:proofErr w:type="gramStart"/>
      <w:r w:rsidRPr="00CC1CA8">
        <w:rPr>
          <w:rFonts w:ascii="Arial" w:hAnsi="Arial" w:cs="Arial"/>
          <w:sz w:val="16"/>
          <w:szCs w:val="16"/>
          <w:lang w:val="hu-HU"/>
        </w:rPr>
        <w:t>Kelt :</w:t>
      </w:r>
      <w:proofErr w:type="gramEnd"/>
      <w:r w:rsidRPr="00CC1CA8">
        <w:rPr>
          <w:rFonts w:ascii="Arial" w:hAnsi="Arial" w:cs="Arial"/>
          <w:sz w:val="16"/>
          <w:szCs w:val="16"/>
          <w:lang w:val="hu-HU"/>
        </w:rPr>
        <w:t xml:space="preserve">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FD2E9B">
        <w:rPr>
          <w:rFonts w:ascii="Arial" w:hAnsi="Arial" w:cs="Arial"/>
          <w:sz w:val="18"/>
          <w:szCs w:val="18"/>
        </w:rPr>
        <w:t>hf</w:t>
      </w:r>
      <w:r w:rsidR="00332E9C">
        <w:rPr>
          <w:rFonts w:ascii="Arial" w:hAnsi="Arial" w:cs="Arial"/>
          <w:noProof/>
          <w:sz w:val="18"/>
          <w:szCs w:val="18"/>
        </w:rPr>
        <w:t>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  <w:r w:rsidR="00332E9C">
        <w:rPr>
          <w:rFonts w:ascii="Arial" w:hAnsi="Arial" w:cs="Arial"/>
          <w:sz w:val="18"/>
          <w:szCs w:val="18"/>
        </w:rPr>
        <w:t xml:space="preserve">, </w:t>
      </w:r>
      <w:r w:rsidR="00332E9C"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 w:rsidR="00332E9C">
        <w:rPr>
          <w:rFonts w:ascii="Arial" w:hAnsi="Arial" w:cs="Arial"/>
          <w:sz w:val="18"/>
          <w:szCs w:val="18"/>
        </w:rPr>
        <w:instrText xml:space="preserve"> FORMTEXT </w:instrText>
      </w:r>
      <w:r w:rsidR="00332E9C">
        <w:rPr>
          <w:rFonts w:ascii="Arial" w:hAnsi="Arial" w:cs="Arial"/>
          <w:sz w:val="18"/>
          <w:szCs w:val="18"/>
        </w:rPr>
      </w:r>
      <w:r w:rsidR="00332E9C">
        <w:rPr>
          <w:rFonts w:ascii="Arial" w:hAnsi="Arial" w:cs="Arial"/>
          <w:sz w:val="18"/>
          <w:szCs w:val="18"/>
        </w:rPr>
        <w:fldChar w:fldCharType="separate"/>
      </w:r>
      <w:r w:rsidR="00332E9C">
        <w:rPr>
          <w:rFonts w:ascii="Arial" w:hAnsi="Arial" w:cs="Arial"/>
          <w:noProof/>
          <w:sz w:val="18"/>
          <w:szCs w:val="18"/>
        </w:rPr>
        <w:t>...................................................</w:t>
      </w:r>
      <w:r w:rsidR="00332E9C">
        <w:rPr>
          <w:rFonts w:ascii="Arial" w:hAnsi="Arial" w:cs="Arial"/>
          <w:sz w:val="18"/>
          <w:szCs w:val="18"/>
        </w:rPr>
        <w:fldChar w:fldCharType="end"/>
      </w:r>
    </w:p>
    <w:p w14:paraId="565F6612" w14:textId="77777777" w:rsidR="004D3D5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24DBB6A1" w14:textId="77777777" w:rsidR="00A532C6" w:rsidRDefault="004D3D5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</w:p>
    <w:p w14:paraId="1BF9FC28" w14:textId="77777777" w:rsidR="00A532C6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</w:p>
    <w:p w14:paraId="604B50D0" w14:textId="77777777" w:rsidR="00B70636" w:rsidRPr="00CC1CA8" w:rsidRDefault="00A532C6" w:rsidP="004D3D56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446823F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b/>
          <w:sz w:val="16"/>
          <w:szCs w:val="16"/>
          <w:lang w:val="hu-HU"/>
        </w:rPr>
        <w:tab/>
      </w:r>
      <w:r w:rsidRPr="00CC1CA8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6A378900" w14:textId="77777777" w:rsidR="00B70636" w:rsidRPr="00CC1CA8" w:rsidRDefault="00B70636" w:rsidP="004D3D56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CC1CA8">
        <w:rPr>
          <w:rFonts w:ascii="Arial" w:hAnsi="Arial" w:cs="Arial"/>
          <w:sz w:val="16"/>
          <w:szCs w:val="16"/>
          <w:lang w:val="hu-HU"/>
        </w:rPr>
        <w:tab/>
      </w:r>
      <w:r w:rsidRPr="00CC1CA8">
        <w:rPr>
          <w:rFonts w:ascii="Arial" w:hAnsi="Arial" w:cs="Arial"/>
          <w:sz w:val="16"/>
          <w:szCs w:val="16"/>
          <w:lang w:val="hu-HU"/>
        </w:rPr>
        <w:tab/>
      </w:r>
      <w:r w:rsidR="0039480B" w:rsidRPr="00CC1CA8">
        <w:rPr>
          <w:rFonts w:ascii="Arial" w:hAnsi="Arial" w:cs="Arial"/>
          <w:b/>
          <w:sz w:val="16"/>
          <w:szCs w:val="16"/>
          <w:lang w:val="hu-HU"/>
        </w:rPr>
        <w:t>p</w:t>
      </w:r>
      <w:r w:rsidRPr="00CC1CA8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746CCB" w:rsidRPr="00CC1CA8">
        <w:rPr>
          <w:rFonts w:ascii="Arial" w:hAnsi="Arial" w:cs="Arial"/>
          <w:b/>
          <w:sz w:val="16"/>
          <w:szCs w:val="16"/>
          <w:lang w:val="hu-HU"/>
        </w:rPr>
        <w:t>i</w:t>
      </w:r>
      <w:r w:rsidRPr="00CC1CA8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6F8FA488" w14:textId="77777777" w:rsidR="00F64E86" w:rsidRDefault="00F64E8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74A7E5F2" w14:textId="77777777" w:rsidR="00A532C6" w:rsidRPr="00CC1CA8" w:rsidRDefault="00A532C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682D6E85" w14:textId="77777777" w:rsidR="004D3D56" w:rsidRDefault="004D3D5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31F5DD07" w14:textId="77777777" w:rsidR="00B70636" w:rsidRPr="00CC1CA8" w:rsidRDefault="00B70636" w:rsidP="004D3D56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567F4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="00567F42" w:rsidRPr="00567F42">
        <w:t xml:space="preserve"> </w:t>
      </w:r>
      <w:r w:rsidR="00567F42" w:rsidRPr="00567F42">
        <w:rPr>
          <w:rFonts w:ascii="Arial" w:hAnsi="Arial" w:cs="Arial"/>
          <w:b/>
          <w:i/>
          <w:sz w:val="16"/>
          <w:szCs w:val="16"/>
          <w:lang w:val="hu-HU"/>
        </w:rPr>
        <w:t>valamint Adatkezelési Tájékoztatóját</w:t>
      </w:r>
      <w:r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 megismertem, s az abban foglaltakat elfogadom.</w:t>
      </w:r>
    </w:p>
    <w:p w14:paraId="402D20EC" w14:textId="77777777" w:rsidR="00BA6588" w:rsidRPr="00CC1CA8" w:rsidRDefault="00BA6588" w:rsidP="004D3D56">
      <w:pPr>
        <w:spacing w:before="0" w:after="0"/>
        <w:ind w:left="0"/>
        <w:rPr>
          <w:rFonts w:ascii="Arial" w:hAnsi="Arial" w:cs="Arial"/>
          <w:b/>
          <w:iCs/>
          <w:sz w:val="18"/>
          <w:szCs w:val="18"/>
          <w:u w:val="single"/>
          <w:lang w:val="hu-HU"/>
        </w:rPr>
      </w:pPr>
    </w:p>
    <w:p w14:paraId="1E54CD3C" w14:textId="77777777" w:rsidR="00CC05CC" w:rsidRDefault="00CC05CC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365245EC" w14:textId="77777777" w:rsidR="00A8020A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D514162" w14:textId="77777777" w:rsidR="00A8020A" w:rsidRPr="00CC1CA8" w:rsidRDefault="00A8020A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1460D7E" w14:textId="77777777" w:rsidR="00B70636" w:rsidRPr="00CC1CA8" w:rsidRDefault="00F170FD" w:rsidP="004D3D56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. . . . . . . . . . . . . . . . . . . . . . . . . . </w:t>
      </w:r>
    </w:p>
    <w:p w14:paraId="778059C9" w14:textId="77777777" w:rsidR="00C42CC1" w:rsidRPr="00CC1CA8" w:rsidRDefault="00C42CC1" w:rsidP="004D3D56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6"/>
          <w:szCs w:val="16"/>
          <w:lang w:val="hu-HU"/>
        </w:rPr>
      </w:pPr>
      <w:r w:rsidRPr="00CC1CA8">
        <w:rPr>
          <w:rFonts w:ascii="Arial" w:hAnsi="Arial" w:cs="Arial"/>
          <w:b/>
          <w:i/>
          <w:sz w:val="16"/>
          <w:szCs w:val="16"/>
          <w:lang w:val="hu-HU"/>
        </w:rPr>
        <w:tab/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Vállalkozás </w:t>
      </w:r>
      <w:r w:rsidR="003A7020">
        <w:rPr>
          <w:rFonts w:ascii="Arial" w:hAnsi="Arial" w:cs="Arial"/>
          <w:b/>
          <w:i/>
          <w:sz w:val="16"/>
          <w:szCs w:val="16"/>
          <w:lang w:val="hu-HU"/>
        </w:rPr>
        <w:t>szabály</w:t>
      </w:r>
      <w:r w:rsidR="003A7020" w:rsidRPr="00CC1CA8">
        <w:rPr>
          <w:rFonts w:ascii="Arial" w:hAnsi="Arial" w:cs="Arial"/>
          <w:b/>
          <w:i/>
          <w:sz w:val="16"/>
          <w:szCs w:val="16"/>
          <w:lang w:val="hu-HU"/>
        </w:rPr>
        <w:t xml:space="preserve">szerű </w:t>
      </w:r>
      <w:r w:rsidR="00B70636" w:rsidRPr="00CC1CA8">
        <w:rPr>
          <w:rFonts w:ascii="Arial" w:hAnsi="Arial" w:cs="Arial"/>
          <w:b/>
          <w:i/>
          <w:sz w:val="16"/>
          <w:szCs w:val="16"/>
          <w:lang w:val="hu-HU"/>
        </w:rPr>
        <w:t>aláírása</w:t>
      </w:r>
    </w:p>
    <w:p w14:paraId="12016B0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5B72FBD3" w14:textId="77777777" w:rsidR="00CD45F7" w:rsidRDefault="00CD45F7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6533AE28" w14:textId="77777777" w:rsidR="00CB5DEB" w:rsidRDefault="00CB5DEB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AAD32F0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EF0D07">
        <w:rPr>
          <w:rFonts w:ascii="Arial" w:hAnsi="Arial" w:cs="Arial"/>
          <w:sz w:val="18"/>
          <w:szCs w:val="18"/>
          <w:lang w:val="hu-HU"/>
        </w:rPr>
        <w:t>,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E26E36" w:rsidRPr="00CC1CA8">
        <w:rPr>
          <w:rFonts w:ascii="Arial" w:hAnsi="Arial" w:cs="Arial"/>
          <w:sz w:val="18"/>
          <w:szCs w:val="18"/>
          <w:lang w:val="hu-HU"/>
        </w:rPr>
        <w:t>valamint</w:t>
      </w:r>
      <w:r w:rsidR="00E26E36">
        <w:rPr>
          <w:rFonts w:ascii="Arial" w:hAnsi="Arial" w:cs="Arial"/>
          <w:sz w:val="18"/>
          <w:szCs w:val="18"/>
          <w:lang w:val="hu-HU"/>
        </w:rPr>
        <w:t xml:space="preserve"> Adatkezelési Tájékoztatóját</w:t>
      </w:r>
      <w:r w:rsidR="00E26E36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CC1CA8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CC1CA8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066B99" w:rsidRPr="00CC1CA8">
        <w:rPr>
          <w:rFonts w:ascii="Arial" w:hAnsi="Arial" w:cs="Arial"/>
          <w:sz w:val="18"/>
          <w:szCs w:val="18"/>
          <w:lang w:val="hu-HU"/>
        </w:rPr>
        <w:t xml:space="preserve"> és annak rendelkezéseit elfogadom</w:t>
      </w:r>
      <w:r w:rsidRPr="00CC1CA8">
        <w:rPr>
          <w:rFonts w:ascii="Arial" w:hAnsi="Arial" w:cs="Arial"/>
          <w:sz w:val="18"/>
          <w:szCs w:val="18"/>
          <w:lang w:val="hu-HU"/>
        </w:rPr>
        <w:t>.</w:t>
      </w:r>
      <w:r w:rsidR="00663543" w:rsidRPr="00CC1CA8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3187E513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56BD31B" w14:textId="77777777" w:rsidR="00B11E99" w:rsidRDefault="00B11E99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CC1CA8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 w:rsidR="00892450" w:rsidRPr="00CC1CA8">
        <w:rPr>
          <w:rFonts w:ascii="Arial" w:hAnsi="Arial" w:cs="Arial"/>
          <w:szCs w:val="18"/>
          <w:lang w:val="hu-HU"/>
        </w:rPr>
        <w:t>, banktitoknak minősülő adatokat</w:t>
      </w:r>
      <w:r w:rsidRPr="00CC1CA8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 w:rsidR="00432531" w:rsidRPr="00CC1CA8">
        <w:rPr>
          <w:rFonts w:ascii="Arial" w:hAnsi="Arial" w:cs="Arial"/>
          <w:szCs w:val="18"/>
          <w:lang w:val="hu-HU"/>
        </w:rPr>
        <w:t xml:space="preserve">az </w:t>
      </w:r>
      <w:r w:rsidRPr="00CC1CA8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624351" w:rsidRPr="00624351">
        <w:rPr>
          <w:rFonts w:ascii="Arial" w:hAnsi="Arial" w:cs="Arial"/>
          <w:szCs w:val="18"/>
          <w:lang w:val="hu-HU"/>
        </w:rPr>
        <w:t>– az általános adatvédelmi rendelet</w:t>
      </w:r>
      <w:r w:rsidR="00624351" w:rsidRPr="00624351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624351" w:rsidRPr="00624351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814B08" w:rsidRPr="00814B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814B08" w:rsidRPr="00814B08">
        <w:rPr>
          <w:rFonts w:ascii="Arial" w:hAnsi="Arial" w:cs="Arial" w:hint="eastAsia"/>
          <w:szCs w:val="18"/>
          <w:lang w:val="hu-HU"/>
        </w:rPr>
        <w:t>ő</w:t>
      </w:r>
      <w:r w:rsidR="00814B08" w:rsidRPr="00814B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814B08" w:rsidRPr="00814B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814B08" w:rsidRPr="00814B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548E9E68" w14:textId="77777777" w:rsidR="00A532C6" w:rsidRPr="00CC1CA8" w:rsidRDefault="00A532C6" w:rsidP="004D3D56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</w:p>
    <w:p w14:paraId="7E5FCF53" w14:textId="77777777" w:rsidR="00892450" w:rsidRPr="00CC1CA8" w:rsidRDefault="00892450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Kijelentem, hogy jelen nyilatkozatom a hitelintézetekről és a pénzügyi vállalkozásokról szóló 2013. évi CCXXXVII. törvény 161. § és 164. §-ban foglaltaknak megfelelő adattovábbításhoz történő, önkéntes hozzájárulásnak is minősül.</w:t>
      </w:r>
    </w:p>
    <w:p w14:paraId="3CA1914C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182534" w:rsidRPr="00CC1CA8">
        <w:rPr>
          <w:rFonts w:ascii="Arial" w:hAnsi="Arial" w:cs="Arial"/>
          <w:sz w:val="18"/>
          <w:szCs w:val="18"/>
          <w:lang w:val="hu-HU"/>
        </w:rPr>
        <w:t>t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követően,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utólag vállalja a kezességet. </w:t>
      </w:r>
    </w:p>
    <w:p w14:paraId="1D4FEB0D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DF90E6B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182534" w:rsidRPr="00CC1CA8">
        <w:rPr>
          <w:rFonts w:ascii="Arial" w:hAnsi="Arial" w:cs="Arial"/>
          <w:sz w:val="18"/>
          <w:szCs w:val="18"/>
          <w:lang w:val="hu-HU"/>
        </w:rPr>
        <w:t>fedezetcsere</w:t>
      </w:r>
      <w:r w:rsidR="007668A3" w:rsidRPr="00CC1CA8">
        <w:rPr>
          <w:rFonts w:ascii="Arial" w:hAnsi="Arial" w:cs="Arial"/>
          <w:sz w:val="18"/>
          <w:szCs w:val="18"/>
          <w:lang w:val="hu-HU"/>
        </w:rPr>
        <w:t>,</w:t>
      </w:r>
      <w:r w:rsidR="00182534" w:rsidRPr="00CC1CA8">
        <w:rPr>
          <w:rFonts w:ascii="Arial" w:hAnsi="Arial" w:cs="Arial"/>
          <w:sz w:val="18"/>
          <w:szCs w:val="18"/>
          <w:lang w:val="hu-HU"/>
        </w:rPr>
        <w:t xml:space="preserve"> vagy pótfedezet nyújtása folytán 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76AAD74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3122979" w14:textId="77777777" w:rsidR="00B11E99" w:rsidRDefault="00B11E99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3ACDB68A" w14:textId="77777777" w:rsidR="00A532C6" w:rsidRPr="00CC1CA8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0E08CBA" w14:textId="77777777" w:rsidR="00DC2F7E" w:rsidRDefault="00DC2F7E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sz w:val="18"/>
          <w:szCs w:val="18"/>
          <w:lang w:val="hu-HU"/>
        </w:rPr>
        <w:t>Tudomásul veszem, hogy az Alapítvány az Üzletszabályzat hatálya alá tartozó szerződéskötései</w:t>
      </w:r>
      <w:r w:rsidR="00A442F3" w:rsidRPr="00CC1CA8">
        <w:rPr>
          <w:rFonts w:ascii="Arial" w:hAnsi="Arial" w:cs="Arial"/>
          <w:sz w:val="18"/>
          <w:szCs w:val="18"/>
          <w:lang w:val="hu-HU"/>
        </w:rPr>
        <w:t>vel összefüggésben</w:t>
      </w:r>
      <w:r w:rsidRPr="00CC1CA8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41835EB6" w14:textId="77777777" w:rsidR="00A532C6" w:rsidRDefault="00A532C6" w:rsidP="004D3D56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161F46D9" w14:textId="77777777" w:rsidR="00B11E99" w:rsidRPr="00CC1CA8" w:rsidRDefault="00B11E99" w:rsidP="004D3D56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B11E99" w:rsidRPr="00CC1CA8" w14:paraId="7794D68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48EDAE66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148686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1DA2018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80E09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D7DBA0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B572A0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9F486C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4E3E6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607CA0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DF550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9CCB9A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DFA9DD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2865C7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1D44E410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23F7E35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D8BA8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0796D11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5A07B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1E67F1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2A7B65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570AAE3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FC9B3C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08024CD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B4B41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711EAFD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14BA67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0E3EE0DB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6ACE3991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76EDFD9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327A55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2FFAA24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652EFA3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643348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B43F41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28F8F625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207BBC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DBBFFC3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FAB7E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B72B77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AF5675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638B1C6C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  <w:tr w:rsidR="00B11E99" w:rsidRPr="00CC1CA8" w14:paraId="002A92BD" w14:textId="77777777" w:rsidTr="001F268B">
        <w:trPr>
          <w:trHeight w:val="1449"/>
        </w:trPr>
        <w:tc>
          <w:tcPr>
            <w:tcW w:w="4820" w:type="dxa"/>
            <w:vAlign w:val="bottom"/>
          </w:tcPr>
          <w:p w14:paraId="048363D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3F99116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E3CA8E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2827962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B75A77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42163EFA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A7ADC0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658D9C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19A6A4B2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9090380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……………………………………..</w:t>
            </w:r>
          </w:p>
          <w:p w14:paraId="59D8203D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3599CB9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>Dologi Adós / Kezes</w:t>
            </w:r>
          </w:p>
          <w:p w14:paraId="2FDE59DF" w14:textId="77777777" w:rsidR="00B11E99" w:rsidRPr="00CC1CA8" w:rsidRDefault="00B11E99" w:rsidP="004D3D56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CC1CA8">
              <w:rPr>
                <w:rFonts w:ascii="Arial" w:hAnsi="Arial" w:cs="Arial"/>
                <w:sz w:val="18"/>
                <w:szCs w:val="18"/>
                <w:lang w:val="hu-HU"/>
              </w:rPr>
              <w:t xml:space="preserve"> (olvasható név, aláírás)</w:t>
            </w:r>
          </w:p>
        </w:tc>
      </w:tr>
    </w:tbl>
    <w:p w14:paraId="7C4BFE26" w14:textId="77777777" w:rsidR="00CD45F7" w:rsidRDefault="00CD45F7" w:rsidP="004D3D5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 w:cs="Arial"/>
          <w:b/>
          <w:sz w:val="18"/>
          <w:szCs w:val="18"/>
          <w:lang w:val="hu-HU"/>
        </w:rPr>
      </w:pPr>
    </w:p>
    <w:p w14:paraId="0A61FF6E" w14:textId="03AD02D4" w:rsidR="00CD45F7" w:rsidRDefault="00CD45F7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1F523D5C" w14:textId="5C819A9D" w:rsidR="000D411D" w:rsidRDefault="000D411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>
        <w:rPr>
          <w:rFonts w:ascii="Arial" w:hAnsi="Arial" w:cs="Arial"/>
          <w:b/>
          <w:sz w:val="18"/>
          <w:szCs w:val="18"/>
          <w:lang w:val="hu-HU"/>
        </w:rPr>
        <w:br w:type="page"/>
      </w:r>
    </w:p>
    <w:p w14:paraId="73155C33" w14:textId="77777777" w:rsidR="000333E8" w:rsidRDefault="000333E8" w:rsidP="004D3D56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52BD16AE" w14:textId="77777777" w:rsidR="00B15FBE" w:rsidRPr="00C77FB7" w:rsidRDefault="00B15FBE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44166D74" w14:textId="77777777" w:rsidR="00C77FB7" w:rsidRPr="00D75DF9" w:rsidRDefault="00C77FB7" w:rsidP="00D75DF9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i/>
          <w:sz w:val="18"/>
          <w:lang w:val="x-none"/>
        </w:rPr>
      </w:pPr>
      <w:bookmarkStart w:id="1" w:name="pr2"/>
      <w:bookmarkStart w:id="2" w:name="_Toc165876113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77250364"/>
      <w:bookmarkStart w:id="10" w:name="_Toc477250409"/>
      <w:bookmarkStart w:id="11" w:name="_Toc477250465"/>
      <w:bookmarkStart w:id="12" w:name="_Toc47516409"/>
      <w:bookmarkStart w:id="13" w:name="_Toc185386872"/>
      <w:bookmarkStart w:id="14" w:name="_Hlk56165367"/>
      <w:bookmarkStart w:id="15" w:name="_Toc490144058"/>
      <w:bookmarkEnd w:id="1"/>
      <w:r w:rsidRPr="00D75DF9">
        <w:rPr>
          <w:rFonts w:ascii="Arial" w:hAnsi="Arial"/>
          <w:b/>
          <w:sz w:val="18"/>
          <w:lang w:val="x-none"/>
        </w:rPr>
        <w:t>H I R D E T M É N Y</w:t>
      </w:r>
      <w:bookmarkEnd w:id="2"/>
    </w:p>
    <w:p w14:paraId="2B71DBCD" w14:textId="5809045C" w:rsidR="00C77FB7" w:rsidRPr="000D411D" w:rsidRDefault="00C77FB7" w:rsidP="00D75DF9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Érvényes: 202</w:t>
      </w:r>
      <w:r w:rsidR="006177BA">
        <w:rPr>
          <w:rFonts w:ascii="Arial" w:hAnsi="Arial" w:cs="Arial"/>
          <w:sz w:val="18"/>
          <w:szCs w:val="18"/>
          <w:lang w:val="hu-HU"/>
        </w:rPr>
        <w:t>5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. </w:t>
      </w:r>
      <w:proofErr w:type="gramStart"/>
      <w:r w:rsidR="006177BA">
        <w:rPr>
          <w:rFonts w:ascii="Arial" w:hAnsi="Arial" w:cs="Arial"/>
          <w:sz w:val="18"/>
          <w:szCs w:val="18"/>
          <w:lang w:val="hu-HU"/>
        </w:rPr>
        <w:t xml:space="preserve">május 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1</w:t>
      </w:r>
      <w:r w:rsidR="006177BA">
        <w:rPr>
          <w:rFonts w:ascii="Arial" w:hAnsi="Arial" w:cs="Arial"/>
          <w:sz w:val="18"/>
          <w:szCs w:val="18"/>
          <w:lang w:val="hu-HU"/>
        </w:rPr>
        <w:t>5</w:t>
      </w:r>
      <w:proofErr w:type="gramEnd"/>
      <w:r w:rsidRPr="000D411D">
        <w:rPr>
          <w:rFonts w:ascii="Arial" w:hAnsi="Arial" w:cs="Arial"/>
          <w:sz w:val="18"/>
          <w:szCs w:val="18"/>
          <w:lang w:val="hu-HU"/>
        </w:rPr>
        <w:t>-től</w:t>
      </w:r>
      <w:r w:rsidRPr="000A5F0B">
        <w:rPr>
          <w:rFonts w:cs="Arial"/>
          <w:szCs w:val="18"/>
          <w:vertAlign w:val="superscript"/>
        </w:rPr>
        <w:footnoteReference w:id="5"/>
      </w:r>
    </w:p>
    <w:p w14:paraId="4A0A0716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7DBEB8FF" w14:textId="77777777" w:rsidR="00C77FB7" w:rsidRPr="000D411D" w:rsidRDefault="00C77FB7" w:rsidP="00D75DF9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I.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18CBFEF5" w14:textId="77777777" w:rsidR="00C77FB7" w:rsidRPr="000D411D" w:rsidRDefault="00C77FB7" w:rsidP="00D75DF9">
      <w:pPr>
        <w:spacing w:before="0" w:after="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6500BB44" w14:textId="77777777" w:rsidR="00C77FB7" w:rsidRPr="000D411D" w:rsidRDefault="00C77FB7" w:rsidP="000D411D">
      <w:pPr>
        <w:spacing w:before="0" w:after="60"/>
        <w:ind w:hanging="567"/>
        <w:rPr>
          <w:rFonts w:ascii="Arial" w:hAnsi="Arial" w:cs="Arial"/>
          <w:b/>
          <w:sz w:val="18"/>
          <w:szCs w:val="18"/>
          <w:lang w:val="hu-HU"/>
        </w:rPr>
      </w:pPr>
    </w:p>
    <w:p w14:paraId="681D1DBB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D75DF9">
        <w:rPr>
          <w:rFonts w:ascii="Arial" w:hAnsi="Arial"/>
          <w:b/>
          <w:sz w:val="18"/>
          <w:lang w:val="x-none"/>
        </w:rPr>
        <w:t>1.</w:t>
      </w:r>
      <w:r w:rsidRPr="00D75DF9">
        <w:rPr>
          <w:rFonts w:ascii="Arial" w:hAnsi="Arial"/>
          <w:b/>
          <w:sz w:val="18"/>
          <w:lang w:val="x-none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D75DF9">
        <w:rPr>
          <w:rFonts w:ascii="Arial" w:hAnsi="Arial"/>
          <w:b/>
          <w:sz w:val="18"/>
          <w:u w:val="single"/>
          <w:lang w:val="x-none"/>
        </w:rPr>
        <w:t xml:space="preserve"> kezességi díj </w:t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D75DF9">
        <w:rPr>
          <w:rFonts w:ascii="Arial" w:hAnsi="Arial"/>
          <w:b/>
          <w:sz w:val="18"/>
          <w:u w:val="single"/>
          <w:lang w:val="x-none"/>
        </w:rPr>
        <w:t>mértéke</w:t>
      </w:r>
    </w:p>
    <w:p w14:paraId="400A7CB4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D5EE333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6C3F0540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8B94D7A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</w:t>
      </w:r>
      <w:r w:rsidRPr="00D75DF9">
        <w:rPr>
          <w:rFonts w:ascii="Arial" w:hAnsi="Arial"/>
          <w:sz w:val="18"/>
          <w:lang w:val="x-none"/>
        </w:rPr>
        <w:t xml:space="preserve">íjmértékek </w:t>
      </w:r>
      <w:r w:rsidRPr="000D411D">
        <w:rPr>
          <w:rFonts w:ascii="Arial" w:hAnsi="Arial" w:cs="Arial"/>
          <w:sz w:val="18"/>
          <w:szCs w:val="18"/>
          <w:lang w:val="hu-HU"/>
        </w:rPr>
        <w:t>8</w:t>
      </w:r>
      <w:r w:rsidRPr="00D75DF9">
        <w:rPr>
          <w:rFonts w:ascii="Arial" w:hAnsi="Arial"/>
          <w:sz w:val="18"/>
          <w:lang w:val="x-none"/>
        </w:rPr>
        <w:t>0%-os készfizető kezesség</w:t>
      </w:r>
      <w:r w:rsidRPr="000D411D">
        <w:rPr>
          <w:rFonts w:ascii="Arial" w:hAnsi="Arial" w:cs="Arial"/>
          <w:sz w:val="18"/>
          <w:szCs w:val="18"/>
          <w:lang w:val="hu-HU"/>
        </w:rPr>
        <w:t>re vonatkozóan</w:t>
      </w:r>
      <w:r w:rsidRPr="00D75DF9">
        <w:rPr>
          <w:rFonts w:ascii="Arial" w:hAnsi="Arial"/>
          <w:sz w:val="18"/>
          <w:lang w:val="x-none"/>
        </w:rPr>
        <w:t>, a kezességgel biztosított összeg százalékában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7DE2A73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C77FB7" w:rsidRPr="00C77FB7" w14:paraId="03647965" w14:textId="77777777" w:rsidTr="00D75DF9">
        <w:trPr>
          <w:trHeight w:val="1016"/>
          <w:tblHeader/>
        </w:trPr>
        <w:tc>
          <w:tcPr>
            <w:tcW w:w="2122" w:type="dxa"/>
          </w:tcPr>
          <w:p w14:paraId="710F2B2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DF886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7256B4D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A5F0B">
              <w:rPr>
                <w:rFonts w:cs="Arial"/>
                <w:szCs w:val="16"/>
                <w:vertAlign w:val="superscript"/>
                <w:lang w:eastAsia="hu-HU"/>
              </w:rPr>
              <w:footnoteReference w:id="6"/>
            </w:r>
            <w:r w:rsidRPr="000A5F0B">
              <w:rPr>
                <w:rFonts w:ascii="Arial" w:hAnsi="Arial" w:cs="Arial"/>
                <w:b/>
                <w:sz w:val="14"/>
                <w:szCs w:val="14"/>
                <w:vertAlign w:val="superscript"/>
                <w:lang w:val="hu-HU" w:eastAsia="hu-HU"/>
              </w:rPr>
              <w:t xml:space="preserve"> </w:t>
            </w:r>
          </w:p>
        </w:tc>
      </w:tr>
      <w:tr w:rsidR="00C77FB7" w:rsidRPr="00C77FB7" w14:paraId="6C3FFA71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4091D0B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3500B8B9" w14:textId="24335036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0,91%</w:t>
            </w:r>
          </w:p>
        </w:tc>
        <w:tc>
          <w:tcPr>
            <w:tcW w:w="3544" w:type="dxa"/>
            <w:vAlign w:val="center"/>
          </w:tcPr>
          <w:p w14:paraId="77BB6C8B" w14:textId="5F98DCAA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0,16%</w:t>
            </w:r>
          </w:p>
        </w:tc>
      </w:tr>
      <w:tr w:rsidR="00C77FB7" w:rsidRPr="00C77FB7" w14:paraId="43820369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6D77BB4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2557B6B5" w14:textId="065656AE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0,94%</w:t>
            </w:r>
          </w:p>
        </w:tc>
        <w:tc>
          <w:tcPr>
            <w:tcW w:w="3544" w:type="dxa"/>
            <w:vAlign w:val="center"/>
          </w:tcPr>
          <w:p w14:paraId="31090E9A" w14:textId="3947FA6C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0,19%</w:t>
            </w:r>
          </w:p>
        </w:tc>
      </w:tr>
      <w:tr w:rsidR="00C77FB7" w:rsidRPr="00C77FB7" w14:paraId="217B1007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6DC9A85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6C4BD93C" w14:textId="195ED754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  <w:tc>
          <w:tcPr>
            <w:tcW w:w="3544" w:type="dxa"/>
            <w:vAlign w:val="center"/>
          </w:tcPr>
          <w:p w14:paraId="34D9C583" w14:textId="6677800A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0,17%</w:t>
            </w:r>
          </w:p>
        </w:tc>
      </w:tr>
      <w:tr w:rsidR="00C77FB7" w:rsidRPr="00C77FB7" w14:paraId="4AB21837" w14:textId="77777777" w:rsidTr="00D75DF9">
        <w:trPr>
          <w:trHeight w:val="1016"/>
        </w:trPr>
        <w:tc>
          <w:tcPr>
            <w:tcW w:w="2122" w:type="dxa"/>
            <w:vAlign w:val="center"/>
          </w:tcPr>
          <w:p w14:paraId="0922A36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10E45FFF" w14:textId="1177E743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2443737C" w14:textId="3FEFB0D5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2D57CA5A" w14:textId="77777777" w:rsidR="00C77FB7" w:rsidRPr="00D75DF9" w:rsidRDefault="00C77FB7" w:rsidP="00D75DF9">
      <w:pPr>
        <w:spacing w:before="0" w:after="60"/>
        <w:ind w:left="0"/>
        <w:rPr>
          <w:rFonts w:ascii="Arial" w:hAnsi="Arial"/>
          <w:sz w:val="18"/>
          <w:u w:val="single"/>
          <w:lang w:val="hu-HU"/>
        </w:rPr>
      </w:pPr>
    </w:p>
    <w:p w14:paraId="1BFAA667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D75DF9">
        <w:rPr>
          <w:rFonts w:ascii="Arial" w:hAnsi="Arial"/>
          <w:b/>
          <w:sz w:val="18"/>
          <w:u w:val="single"/>
          <w:lang w:val="hu-HU"/>
        </w:rPr>
        <w:t>Vidékfejlesztési célú ügylet esetén</w:t>
      </w:r>
      <w:r w:rsidRPr="000A5F0B">
        <w:rPr>
          <w:vertAlign w:val="superscript"/>
        </w:rPr>
        <w:footnoteReference w:id="7"/>
      </w:r>
    </w:p>
    <w:p w14:paraId="79CE90BC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4937BE7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</w:t>
      </w:r>
      <w:r w:rsidRPr="00D75DF9">
        <w:rPr>
          <w:rFonts w:ascii="Arial" w:hAnsi="Arial"/>
          <w:sz w:val="18"/>
          <w:lang w:val="x-none"/>
        </w:rPr>
        <w:t xml:space="preserve">íjmértékek </w:t>
      </w:r>
      <w:r w:rsidRPr="000D411D">
        <w:rPr>
          <w:rFonts w:ascii="Arial" w:hAnsi="Arial" w:cs="Arial"/>
          <w:sz w:val="18"/>
          <w:szCs w:val="18"/>
          <w:lang w:val="hu-HU"/>
        </w:rPr>
        <w:t>8</w:t>
      </w:r>
      <w:r w:rsidRPr="00D75DF9">
        <w:rPr>
          <w:rFonts w:ascii="Arial" w:hAnsi="Arial"/>
          <w:sz w:val="18"/>
          <w:lang w:val="x-none"/>
        </w:rPr>
        <w:t>0%-os készfizető kezesség</w:t>
      </w:r>
      <w:r w:rsidRPr="000D411D">
        <w:rPr>
          <w:rFonts w:ascii="Arial" w:hAnsi="Arial" w:cs="Arial"/>
          <w:sz w:val="18"/>
          <w:szCs w:val="18"/>
          <w:lang w:val="hu-HU"/>
        </w:rPr>
        <w:t>re vonatkozóan</w:t>
      </w:r>
      <w:r w:rsidRPr="00D75DF9">
        <w:rPr>
          <w:rFonts w:ascii="Arial" w:hAnsi="Arial"/>
          <w:sz w:val="18"/>
          <w:lang w:val="x-none"/>
        </w:rPr>
        <w:t>, a kezességgel biztosított összeg százalékában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17B6925F" w14:textId="77777777" w:rsidR="00C77FB7" w:rsidRPr="000D411D" w:rsidRDefault="00C77FB7" w:rsidP="00C77FB7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C77FB7" w:rsidRPr="00C77FB7" w14:paraId="11A2726B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521A0873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4BC2F79F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C77FB7" w:rsidRPr="00C77FB7" w14:paraId="128FDFC4" w14:textId="77777777" w:rsidTr="00D75DF9">
        <w:trPr>
          <w:trHeight w:val="866"/>
        </w:trPr>
        <w:tc>
          <w:tcPr>
            <w:tcW w:w="3517" w:type="dxa"/>
            <w:vMerge w:val="restart"/>
            <w:vAlign w:val="center"/>
          </w:tcPr>
          <w:p w14:paraId="200C3CAE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10808F78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2F0CA12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C77FB7" w:rsidRPr="00C77FB7" w14:paraId="088414CC" w14:textId="77777777" w:rsidTr="00D75DF9">
        <w:trPr>
          <w:trHeight w:val="866"/>
        </w:trPr>
        <w:tc>
          <w:tcPr>
            <w:tcW w:w="3517" w:type="dxa"/>
            <w:vMerge/>
            <w:vAlign w:val="center"/>
          </w:tcPr>
          <w:p w14:paraId="34882052" w14:textId="77777777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x-none"/>
              </w:rPr>
            </w:pPr>
          </w:p>
        </w:tc>
        <w:tc>
          <w:tcPr>
            <w:tcW w:w="2545" w:type="dxa"/>
          </w:tcPr>
          <w:p w14:paraId="654CB384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4A8FC4F7" w14:textId="77777777" w:rsidR="00C77FB7" w:rsidRPr="000D411D" w:rsidDel="00C4609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C77FB7" w:rsidRPr="00C77FB7" w14:paraId="0FA31C2D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4E1E7A26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lastRenderedPageBreak/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0240EBCF" w14:textId="695FBDC2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0,92%</w:t>
            </w:r>
          </w:p>
        </w:tc>
      </w:tr>
      <w:tr w:rsidR="00C77FB7" w:rsidRPr="00C77FB7" w14:paraId="77C81E70" w14:textId="77777777" w:rsidTr="00D75DF9">
        <w:trPr>
          <w:trHeight w:val="866"/>
        </w:trPr>
        <w:tc>
          <w:tcPr>
            <w:tcW w:w="6062" w:type="dxa"/>
            <w:gridSpan w:val="2"/>
            <w:vAlign w:val="center"/>
          </w:tcPr>
          <w:p w14:paraId="7F7C91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68F0C525" w14:textId="18FFA846" w:rsidR="00C77FB7" w:rsidRPr="00D75DF9" w:rsidRDefault="00C77FB7" w:rsidP="00D75DF9">
            <w:pPr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5344B482" w14:textId="77777777" w:rsidR="00C77FB7" w:rsidRPr="000D411D" w:rsidRDefault="00C77FB7" w:rsidP="00C77FB7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4F42D05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A83345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A83345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A83345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A83345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066FF309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FCB480F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A83345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04982C3D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A83345" w:rsidRPr="00A83345" w:rsidDel="00E8532A" w14:paraId="1A99FB80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5CE5C9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A8334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767F36B2" w14:textId="77777777" w:rsidR="00A83345" w:rsidRPr="00A83345" w:rsidDel="00E8532A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09624912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A83345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A83345" w:rsidRPr="00A83345" w14:paraId="62B75D9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0522DA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0BAF06F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4AADF4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3A44DE2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F0AF71F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4340E0FB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F8F4B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275F4D5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E26981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79A6490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B4C901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5ED9F991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2B03C53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4AB0B1A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9B5C9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1E3C8E7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4320AE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A83345" w:rsidRPr="00A83345" w14:paraId="68DC398D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B4816DA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47A1879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ADC1A0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08E04F4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04DEF26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A83345" w:rsidRPr="00A83345" w14:paraId="0F1E33CC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6398D1A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78AEED8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9DBE87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347186D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24E40F2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A83345" w:rsidRPr="00A83345" w14:paraId="08BFAFA0" w14:textId="77777777" w:rsidTr="00031710">
        <w:trPr>
          <w:trHeight w:val="866"/>
        </w:trPr>
        <w:tc>
          <w:tcPr>
            <w:tcW w:w="2689" w:type="dxa"/>
            <w:vAlign w:val="center"/>
          </w:tcPr>
          <w:p w14:paraId="14B5CF3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3118" w:type="dxa"/>
          </w:tcPr>
          <w:p w14:paraId="1DDB1AA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999DF1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1F115E10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8524F7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3CC13882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FD5585A" w14:textId="77777777" w:rsidR="00A83345" w:rsidRPr="000D411D" w:rsidRDefault="00A83345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2AA2F76F" w14:textId="53DBE9CE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2.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="00A83345">
        <w:rPr>
          <w:rStyle w:val="Lbjegyzet-hivatkozs"/>
          <w:rFonts w:ascii="Arial" w:hAnsi="Arial" w:cs="Arial"/>
          <w:b/>
          <w:sz w:val="18"/>
          <w:szCs w:val="18"/>
          <w:u w:val="single"/>
          <w:lang w:val="hu-HU"/>
        </w:rPr>
        <w:footnoteReference w:id="12"/>
      </w:r>
    </w:p>
    <w:p w14:paraId="48FB190B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3FC8BEB" w14:textId="77777777" w:rsidR="00C77FB7" w:rsidRPr="000D411D" w:rsidRDefault="00C77FB7" w:rsidP="00D75DF9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D75DF9">
        <w:rPr>
          <w:rFonts w:ascii="Arial" w:hAnsi="Arial"/>
          <w:sz w:val="18"/>
          <w:lang w:val="x-none"/>
        </w:rPr>
        <w:t>A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D75DF9">
        <w:rPr>
          <w:rFonts w:ascii="Arial" w:hAnsi="Arial"/>
          <w:sz w:val="18"/>
          <w:lang w:val="x-none"/>
        </w:rPr>
        <w:t xml:space="preserve">legalább 3 éves futamidejű 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D75DF9">
        <w:rPr>
          <w:rFonts w:ascii="Arial" w:hAnsi="Arial"/>
          <w:sz w:val="18"/>
          <w:lang w:val="x-none"/>
        </w:rPr>
        <w:t xml:space="preserve">beruházási </w:t>
      </w:r>
      <w:r w:rsidRPr="000D411D">
        <w:rPr>
          <w:rFonts w:ascii="Arial" w:hAnsi="Arial" w:cs="Arial"/>
          <w:iCs/>
          <w:sz w:val="18"/>
          <w:szCs w:val="18"/>
          <w:lang w:val="hu-HU"/>
        </w:rPr>
        <w:t>hitelekhez és lízingszerződésekhez</w:t>
      </w:r>
      <w:bookmarkStart w:id="16" w:name="_Hlk109900354"/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bookmarkEnd w:id="16"/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nyújtott állami támogatásnak minősülő kezesség első két számlázási időszakot (első törtév és azt követő teljes naptári év) érintő kedvezményes </w:t>
      </w:r>
      <w:r w:rsidRPr="00D75DF9">
        <w:rPr>
          <w:rFonts w:ascii="Arial" w:hAnsi="Arial"/>
          <w:sz w:val="18"/>
          <w:lang w:val="x-none"/>
        </w:rPr>
        <w:t>kezességi díj</w:t>
      </w:r>
      <w:r w:rsidRPr="000D411D">
        <w:rPr>
          <w:rFonts w:ascii="Arial" w:hAnsi="Arial" w:cs="Arial"/>
          <w:iCs/>
          <w:sz w:val="18"/>
          <w:szCs w:val="18"/>
          <w:lang w:val="hu-HU"/>
        </w:rPr>
        <w:t>a</w:t>
      </w:r>
      <w:r w:rsidRPr="00D75DF9">
        <w:rPr>
          <w:rFonts w:ascii="Arial" w:hAnsi="Arial"/>
          <w:sz w:val="18"/>
          <w:lang w:val="x-none"/>
        </w:rPr>
        <w:t xml:space="preserve"> elengedésre kerül</w:t>
      </w:r>
      <w:r w:rsidRPr="000D411D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D75DF9">
        <w:rPr>
          <w:rFonts w:ascii="Arial" w:hAnsi="Arial"/>
          <w:sz w:val="18"/>
          <w:lang w:val="x-none"/>
        </w:rPr>
        <w:t>.</w:t>
      </w:r>
      <w:r w:rsidRPr="000D411D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0D411D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6A9096CD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7F62DE8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3.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4A4C0BA6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267CE7F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369CD41" w14:textId="77777777" w:rsidR="00C77FB7" w:rsidRPr="000D411D" w:rsidRDefault="00C77FB7" w:rsidP="000D411D">
      <w:pPr>
        <w:spacing w:before="0" w:after="0"/>
        <w:ind w:left="0"/>
        <w:rPr>
          <w:rFonts w:ascii="Arial" w:hAnsi="Arial" w:cs="Arial"/>
          <w:b/>
          <w:spacing w:val="-6"/>
          <w:sz w:val="18"/>
          <w:szCs w:val="18"/>
          <w:lang w:val="hu-HU"/>
        </w:rPr>
      </w:pPr>
    </w:p>
    <w:p w14:paraId="4CF41EC3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4C4D0B1C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C77FB7" w:rsidRPr="00C77FB7" w14:paraId="40B518E1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42B01D1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79580497" w14:textId="2000B17C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szCs w:val="24"/>
                <w:lang w:val="x-none" w:eastAsia="x-none"/>
              </w:rPr>
              <w:t>0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,91%</w:t>
            </w:r>
          </w:p>
        </w:tc>
      </w:tr>
      <w:tr w:rsidR="00C77FB7" w:rsidRPr="00C77FB7" w14:paraId="26482B2B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7E884BA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4DCC00D1" w14:textId="4EBECC5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,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94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1FF0B4CF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39ACD0E9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5D74EA4" w14:textId="18BC1F38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lang w:val="x-none"/>
              </w:rPr>
              <w:t>0,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9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C77FB7" w:rsidRPr="00C77FB7" w14:paraId="209C8D4D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70552AC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0E565236" w14:textId="0406698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30E598D7" w14:textId="77777777" w:rsidR="00C77FB7" w:rsidRPr="000D411D" w:rsidRDefault="00C77FB7" w:rsidP="00C77FB7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97E4FFA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7DCF30EA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C77FB7" w:rsidRPr="00C77FB7" w14:paraId="2CB5DA22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10946E08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eruházási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294DE779" w14:textId="050A629E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1,04%</w:t>
            </w:r>
          </w:p>
        </w:tc>
      </w:tr>
      <w:tr w:rsidR="00C77FB7" w:rsidRPr="00C77FB7" w14:paraId="6ECD2B51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577E27A3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forgóeszköz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kölcsön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, 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1DC37787" w14:textId="7A75F853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1,97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0C6B37CF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5003A1E2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pénzügyi intézményi garanciaszerződés,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garancia</w:t>
            </w: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366644D4" w14:textId="1AC47972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0</w:t>
            </w: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,92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  <w:tr w:rsidR="00C77FB7" w:rsidRPr="00C77FB7" w14:paraId="54E4D8AE" w14:textId="77777777" w:rsidTr="00183F09">
        <w:trPr>
          <w:trHeight w:val="1016"/>
        </w:trPr>
        <w:tc>
          <w:tcPr>
            <w:tcW w:w="2113" w:type="pct"/>
            <w:vAlign w:val="center"/>
          </w:tcPr>
          <w:p w14:paraId="0848BBEC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D75DF9">
              <w:rPr>
                <w:rFonts w:ascii="Arial" w:hAnsi="Arial"/>
                <w:sz w:val="18"/>
                <w:szCs w:val="20"/>
                <w:lang w:val="x-none" w:eastAsia="hu-HU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695DF74B" w14:textId="7E73D676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3,77</w:t>
            </w:r>
            <w:r w:rsidRPr="00D75DF9">
              <w:rPr>
                <w:rFonts w:ascii="Arial" w:hAnsi="Arial"/>
                <w:color w:val="000000"/>
                <w:sz w:val="18"/>
                <w:szCs w:val="20"/>
                <w:lang w:val="x-none" w:eastAsia="hu-HU"/>
              </w:rPr>
              <w:t>%</w:t>
            </w:r>
          </w:p>
        </w:tc>
      </w:tr>
    </w:tbl>
    <w:p w14:paraId="6632A47B" w14:textId="1A23F079" w:rsidR="00C77FB7" w:rsidRDefault="00C77FB7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0F9C74A9" w14:textId="77777777" w:rsidR="00A83345" w:rsidRPr="00A83345" w:rsidRDefault="00A83345" w:rsidP="00A83345">
      <w:pPr>
        <w:spacing w:before="0" w:after="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A83345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 feletti, mentesülési díjas ügyletek esetén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A83345" w:rsidRPr="00A83345" w:rsidDel="00E8532A" w14:paraId="44CE8684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0342A33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Kategória</w:t>
            </w:r>
            <w:r w:rsidRPr="00A83345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6C439FD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79581FF2" w14:textId="77777777" w:rsidR="00A83345" w:rsidRPr="00A83345" w:rsidDel="00E8532A" w:rsidRDefault="00A83345" w:rsidP="00A83345">
            <w:pPr>
              <w:spacing w:before="0" w:after="0"/>
              <w:ind w:left="0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A83345" w:rsidRPr="00A83345" w14:paraId="739BD3E5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420B5CA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48EF5A2C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2163377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6534570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A83345" w:rsidRPr="00A83345" w14:paraId="3F985C24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3C1CDBEC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3A2DBD9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07CED69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50B5A6A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A83345" w:rsidRPr="00A83345" w14:paraId="0EEFF723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53139D6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MD3</w:t>
            </w:r>
          </w:p>
        </w:tc>
        <w:tc>
          <w:tcPr>
            <w:tcW w:w="2968" w:type="dxa"/>
            <w:vAlign w:val="center"/>
          </w:tcPr>
          <w:p w14:paraId="328B6253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2847CA1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51FC5B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A83345" w:rsidRPr="00A83345" w14:paraId="11018BDA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26E8B968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491D8D6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0DC62187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500F69D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A83345" w:rsidRPr="00A83345" w14:paraId="685E2F17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35EE11F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69EF1B34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14F39BE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0B05949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A83345" w:rsidRPr="00A83345" w14:paraId="2E1956B3" w14:textId="77777777" w:rsidTr="00031710">
        <w:trPr>
          <w:trHeight w:val="866"/>
        </w:trPr>
        <w:tc>
          <w:tcPr>
            <w:tcW w:w="3123" w:type="dxa"/>
            <w:vAlign w:val="center"/>
          </w:tcPr>
          <w:p w14:paraId="004182F1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6C48F525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45F182FB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D3AA6AE" w14:textId="77777777" w:rsidR="00A83345" w:rsidRPr="00A83345" w:rsidRDefault="00A83345" w:rsidP="00A83345">
            <w:pPr>
              <w:spacing w:before="0" w:after="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A83345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3ABE25F1" w14:textId="77777777" w:rsidR="00A83345" w:rsidRPr="000D411D" w:rsidRDefault="00A83345" w:rsidP="00D75DF9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3FDCF95F" w14:textId="1BF12FEB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D411D">
        <w:rPr>
          <w:rFonts w:ascii="Arial" w:hAnsi="Arial" w:cs="Arial"/>
          <w:b/>
          <w:sz w:val="18"/>
          <w:szCs w:val="18"/>
          <w:lang w:val="hu-HU"/>
        </w:rPr>
        <w:t>4.</w:t>
      </w:r>
      <w:r w:rsidRPr="000D411D">
        <w:rPr>
          <w:rFonts w:ascii="Arial" w:hAnsi="Arial" w:cs="Arial"/>
          <w:b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Újraindítási Beruházási Hitel Program </w:t>
      </w:r>
      <w:bookmarkStart w:id="17" w:name="_Hlk109900025"/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és </w:t>
      </w:r>
      <w:r w:rsidRPr="00D75DF9">
        <w:rPr>
          <w:rFonts w:ascii="Arial" w:hAnsi="Arial"/>
          <w:b/>
          <w:spacing w:val="-3"/>
          <w:sz w:val="18"/>
          <w:u w:val="single"/>
          <w:lang w:val="hu-HU"/>
        </w:rPr>
        <w:t xml:space="preserve">Széchenyi Mikrohitel Konstrukció </w:t>
      </w:r>
      <w:bookmarkEnd w:id="17"/>
      <w:r w:rsidRPr="000D411D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1B578090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u w:val="single"/>
          <w:lang w:val="hu-HU"/>
        </w:rPr>
      </w:pPr>
    </w:p>
    <w:p w14:paraId="06EBDFFE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1FCD849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7C022728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r w:rsidRPr="00D75DF9">
        <w:rPr>
          <w:rFonts w:ascii="Arial" w:hAnsi="Arial"/>
          <w:b/>
          <w:sz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C77FB7" w:rsidRPr="00C77FB7" w14:paraId="5AB18DBD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52409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46CDF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C77FB7" w:rsidRPr="00C77FB7" w14:paraId="6B42F2BB" w14:textId="77777777" w:rsidTr="00183F09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7669F" w14:textId="6FCD090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0,</w:t>
            </w: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91</w:t>
            </w:r>
            <w:r w:rsidRPr="00D75DF9">
              <w:rPr>
                <w:rFonts w:ascii="Arial" w:hAnsi="Arial"/>
                <w:sz w:val="18"/>
                <w:lang w:val="hu-HU"/>
              </w:rPr>
              <w:t>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8CF3C" w14:textId="77777777" w:rsidR="00C77FB7" w:rsidRPr="00D75DF9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/>
                <w:sz w:val="18"/>
                <w:lang w:val="hu-HU"/>
              </w:rPr>
            </w:pPr>
            <w:r w:rsidRPr="00D75DF9">
              <w:rPr>
                <w:rFonts w:ascii="Arial" w:hAnsi="Arial"/>
                <w:sz w:val="18"/>
                <w:lang w:val="hu-HU"/>
              </w:rPr>
              <w:t>0%</w:t>
            </w:r>
          </w:p>
        </w:tc>
      </w:tr>
    </w:tbl>
    <w:p w14:paraId="0266EA25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1314ACF" w14:textId="77777777" w:rsidR="00C77FB7" w:rsidRPr="00D75DF9" w:rsidRDefault="00C77FB7" w:rsidP="00D75DF9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lang w:val="hu-HU"/>
        </w:rPr>
      </w:pPr>
      <w:bookmarkStart w:id="18" w:name="_Hlk109900079"/>
      <w:r w:rsidRPr="00D75DF9">
        <w:rPr>
          <w:rFonts w:ascii="Arial" w:hAnsi="Arial"/>
          <w:b/>
          <w:sz w:val="18"/>
          <w:lang w:val="hu-HU"/>
        </w:rPr>
        <w:t>Piaci kezességi díj évenkénti mértéke</w:t>
      </w:r>
      <w:bookmarkEnd w:id="18"/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C77FB7" w:rsidRPr="00C77FB7" w14:paraId="6EE8E4B1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7FA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1B4F5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7EB40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C77FB7" w:rsidRPr="00C77FB7" w14:paraId="1B9016C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A5076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DA9F0" w14:textId="27E03ECA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0,91%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4BC2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C77FB7" w:rsidRPr="00C77FB7" w14:paraId="34EED6BA" w14:textId="77777777" w:rsidTr="00183F09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6F789" w14:textId="77777777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3066E" w14:textId="60D59EED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1,04%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A84A0" w14:textId="7E3ED83D" w:rsidR="00C77FB7" w:rsidRPr="000D411D" w:rsidRDefault="00C77FB7" w:rsidP="00D75DF9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49B066ED" w14:textId="77777777" w:rsidR="00C77FB7" w:rsidRPr="00D75DF9" w:rsidRDefault="00C77FB7" w:rsidP="00D75DF9">
      <w:pPr>
        <w:shd w:val="clear" w:color="auto" w:fill="FFFFFF"/>
        <w:spacing w:before="0" w:after="60"/>
        <w:ind w:hanging="567"/>
        <w:rPr>
          <w:rFonts w:ascii="Arial" w:hAnsi="Arial"/>
          <w:b/>
          <w:spacing w:val="-3"/>
          <w:sz w:val="18"/>
          <w:lang w:val="hu-HU"/>
        </w:rPr>
      </w:pPr>
    </w:p>
    <w:p w14:paraId="0F696545" w14:textId="77777777" w:rsidR="00C77FB7" w:rsidRPr="000D411D" w:rsidRDefault="00C77FB7" w:rsidP="00D75DF9">
      <w:pPr>
        <w:spacing w:before="0" w:after="0"/>
        <w:ind w:left="0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595ED35E" w14:textId="77777777" w:rsidR="00C77FB7" w:rsidRPr="000D411D" w:rsidRDefault="00C77FB7" w:rsidP="000D411D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25DFAC0B" w14:textId="77777777" w:rsidR="00C77FB7" w:rsidRPr="00D75DF9" w:rsidRDefault="00C77FB7" w:rsidP="00D75DF9">
      <w:pPr>
        <w:shd w:val="clear" w:color="auto" w:fill="FFFFFF"/>
        <w:spacing w:before="0" w:after="60"/>
        <w:ind w:hanging="567"/>
        <w:rPr>
          <w:rFonts w:ascii="Arial" w:hAnsi="Arial"/>
          <w:b/>
          <w:spacing w:val="-3"/>
          <w:sz w:val="18"/>
          <w:lang w:val="hu-HU"/>
        </w:rPr>
      </w:pPr>
    </w:p>
    <w:p w14:paraId="10D7F53F" w14:textId="77777777" w:rsidR="00C77FB7" w:rsidRPr="000D411D" w:rsidRDefault="00C77FB7" w:rsidP="00D75DF9">
      <w:pPr>
        <w:shd w:val="clear" w:color="auto" w:fill="FFFFFF"/>
        <w:spacing w:before="0" w:after="60"/>
        <w:ind w:hanging="567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7E81DCB" w14:textId="77777777" w:rsidR="00C77FB7" w:rsidRPr="000D411D" w:rsidRDefault="00C77FB7" w:rsidP="00D75DF9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D411D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ECBDF85" w14:textId="77777777" w:rsidR="00C77FB7" w:rsidRPr="000D411D" w:rsidRDefault="00C77FB7" w:rsidP="00D75DF9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5E4AC4EF" w14:textId="3B8A91BA" w:rsidR="001010B2" w:rsidRDefault="001010B2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4E05564D" w14:textId="77777777" w:rsidR="00C77FB7" w:rsidRPr="000D411D" w:rsidRDefault="00C77FB7" w:rsidP="00D75DF9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7571F9EF" w14:textId="77777777" w:rsidR="00C77FB7" w:rsidRPr="000D411D" w:rsidRDefault="00C77FB7" w:rsidP="00D75DF9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308E425B" w14:textId="77777777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5C9472B3" w14:textId="4BFA9CD0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díj számítása 360 nap/év és 30 napos hónapok </w:t>
      </w:r>
      <w:r w:rsidRPr="000D411D">
        <w:rPr>
          <w:rFonts w:ascii="Arial" w:hAnsi="Arial" w:cs="Arial"/>
          <w:sz w:val="18"/>
          <w:szCs w:val="18"/>
          <w:lang w:val="hu-HU"/>
        </w:rPr>
        <w:t>figyelembevételével</w:t>
      </w:r>
      <w:r w:rsidRPr="00D75DF9">
        <w:rPr>
          <w:rFonts w:ascii="Arial" w:hAnsi="Arial"/>
          <w:sz w:val="18"/>
          <w:lang w:val="hu-HU"/>
        </w:rPr>
        <w:t xml:space="preserve"> történik.</w:t>
      </w:r>
    </w:p>
    <w:p w14:paraId="46012E78" w14:textId="77777777" w:rsidR="00C77FB7" w:rsidRPr="00CD7EC4" w:rsidRDefault="00C77FB7" w:rsidP="00D75DF9">
      <w:pPr>
        <w:numPr>
          <w:ilvl w:val="1"/>
          <w:numId w:val="14"/>
        </w:numPr>
        <w:spacing w:before="0" w:after="24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36608B95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legalább 368 nap, a kezességi díj fizetése évenként történik.</w:t>
      </w:r>
    </w:p>
    <w:p w14:paraId="30D7B2BD" w14:textId="77777777" w:rsidR="00C77FB7" w:rsidRPr="00CD7EC4" w:rsidRDefault="00C77FB7" w:rsidP="00D75DF9">
      <w:pPr>
        <w:widowControl w:val="0"/>
        <w:numPr>
          <w:ilvl w:val="2"/>
          <w:numId w:val="14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5DF0CDCE" w14:textId="77777777" w:rsidR="00C77FB7" w:rsidRPr="00CD7EC4" w:rsidRDefault="00C77FB7" w:rsidP="00D75DF9">
      <w:pPr>
        <w:numPr>
          <w:ilvl w:val="2"/>
          <w:numId w:val="14"/>
        </w:numPr>
        <w:spacing w:before="0" w:after="240"/>
        <w:rPr>
          <w:rFonts w:ascii="Arial" w:hAnsi="Arial"/>
          <w:sz w:val="18"/>
        </w:rPr>
      </w:pPr>
      <w:bookmarkStart w:id="19" w:name="_Hlk38864136"/>
      <w:r w:rsidRPr="00D75DF9">
        <w:rPr>
          <w:rFonts w:ascii="Arial" w:hAnsi="Arial"/>
          <w:sz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9"/>
    <w:p w14:paraId="7A144D2C" w14:textId="77777777" w:rsidR="00C77FB7" w:rsidRPr="00CD7EC4" w:rsidRDefault="00C77FB7" w:rsidP="00D75DF9">
      <w:pPr>
        <w:numPr>
          <w:ilvl w:val="2"/>
          <w:numId w:val="14"/>
        </w:numPr>
        <w:spacing w:before="0" w:after="24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77E17C0E" w14:textId="77777777" w:rsidR="00C77FB7" w:rsidRPr="00CD7EC4" w:rsidRDefault="00C77FB7" w:rsidP="00D75DF9">
      <w:pPr>
        <w:numPr>
          <w:ilvl w:val="2"/>
          <w:numId w:val="29"/>
        </w:numPr>
        <w:spacing w:before="0" w:after="240"/>
        <w:ind w:left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206114A8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47623657" w14:textId="77777777" w:rsidR="00C77FB7" w:rsidRPr="00CD7EC4" w:rsidRDefault="00C77FB7" w:rsidP="00D75D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</w:rPr>
      </w:pPr>
    </w:p>
    <w:p w14:paraId="1DCB821F" w14:textId="77777777" w:rsidR="00C77FB7" w:rsidRPr="00CD7EC4" w:rsidRDefault="00C77FB7" w:rsidP="00D75DF9">
      <w:pPr>
        <w:widowControl w:val="0"/>
        <w:numPr>
          <w:ilvl w:val="1"/>
          <w:numId w:val="14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234BA2ED" w14:textId="77777777" w:rsidR="00C77FB7" w:rsidRPr="000D411D" w:rsidRDefault="00C77FB7" w:rsidP="00D75DF9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27B61266" w14:textId="77777777" w:rsidR="00C77FB7" w:rsidRPr="00CD7EC4" w:rsidRDefault="00C77FB7" w:rsidP="00D75DF9">
      <w:pPr>
        <w:numPr>
          <w:ilvl w:val="0"/>
          <w:numId w:val="16"/>
        </w:numPr>
        <w:spacing w:before="0" w:after="240"/>
        <w:ind w:left="709" w:hanging="709"/>
        <w:rPr>
          <w:rFonts w:ascii="Arial" w:hAnsi="Arial"/>
          <w:b/>
          <w:sz w:val="18"/>
        </w:rPr>
      </w:pPr>
      <w:bookmarkStart w:id="20" w:name="_Hlk15408924"/>
      <w:r w:rsidRPr="00D75DF9">
        <w:rPr>
          <w:rFonts w:ascii="Arial" w:hAnsi="Arial"/>
          <w:b/>
          <w:sz w:val="18"/>
          <w:lang w:val="hu-HU"/>
        </w:rPr>
        <w:t>Díjfizetési szabályok a kezességi szerződés módosítása</w:t>
      </w:r>
      <w:bookmarkEnd w:id="20"/>
      <w:r w:rsidRPr="00D75DF9">
        <w:rPr>
          <w:rFonts w:ascii="Arial" w:hAnsi="Arial"/>
          <w:b/>
          <w:sz w:val="18"/>
          <w:lang w:val="hu-HU"/>
        </w:rPr>
        <w:t>, jogutódlás esetén</w:t>
      </w:r>
    </w:p>
    <w:p w14:paraId="0EECA4A8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 módosítás a futamidő, a kezességgel biztosított összeg vagy a kezességi mérték módosulása.</w:t>
      </w:r>
    </w:p>
    <w:p w14:paraId="27756D17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5EE6DDB3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59D40DC4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37210E11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0A25714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lastRenderedPageBreak/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5978699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7B78B9A5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6176FAAE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C7BDC46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26BE34F6" w14:textId="77777777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</w:t>
      </w:r>
      <w:r w:rsidRPr="00D75DF9" w:rsidDel="003E7905">
        <w:rPr>
          <w:rFonts w:ascii="Arial" w:hAnsi="Arial"/>
          <w:sz w:val="18"/>
          <w:lang w:val="hu-HU"/>
        </w:rPr>
        <w:t xml:space="preserve"> </w:t>
      </w:r>
      <w:r w:rsidRPr="00D75DF9">
        <w:rPr>
          <w:rFonts w:ascii="Arial" w:hAnsi="Arial"/>
          <w:sz w:val="18"/>
          <w:lang w:val="hu-HU"/>
        </w:rPr>
        <w:t>módosítást követően piaci díj alkalmazása esetén a módosításkor hatályos Hirdetményben szereplő díjkulcs kerül alkalmazásra.</w:t>
      </w:r>
    </w:p>
    <w:p w14:paraId="6A027870" w14:textId="685EACC1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Kezességi díjat érintő</w:t>
      </w:r>
      <w:r w:rsidRPr="00D75DF9" w:rsidDel="003E7905">
        <w:rPr>
          <w:rFonts w:ascii="Arial" w:hAnsi="Arial"/>
          <w:sz w:val="18"/>
          <w:lang w:val="hu-HU"/>
        </w:rPr>
        <w:t xml:space="preserve"> </w:t>
      </w:r>
      <w:r w:rsidRPr="00D75DF9">
        <w:rPr>
          <w:rFonts w:ascii="Arial" w:hAnsi="Arial"/>
          <w:sz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7BD34DEE" w14:textId="258F2C0F" w:rsidR="00C77FB7" w:rsidRPr="00CD7EC4" w:rsidRDefault="00C77FB7" w:rsidP="00D75DF9">
      <w:pPr>
        <w:numPr>
          <w:ilvl w:val="1"/>
          <w:numId w:val="16"/>
        </w:numPr>
        <w:spacing w:before="0" w:after="0"/>
        <w:ind w:left="709" w:hanging="709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Állami viszontgaranciával biztosított kezesség esetén</w:t>
      </w:r>
      <w:r w:rsidR="006177BA">
        <w:rPr>
          <w:rFonts w:ascii="Arial" w:hAnsi="Arial"/>
          <w:sz w:val="18"/>
          <w:lang w:val="hu-HU"/>
        </w:rPr>
        <w:t xml:space="preserve"> </w:t>
      </w:r>
      <w:r w:rsidR="006177BA" w:rsidRPr="006177BA">
        <w:rPr>
          <w:rFonts w:ascii="Arial" w:hAnsi="Arial"/>
          <w:sz w:val="18"/>
          <w:lang w:val="hu-HU"/>
        </w:rPr>
        <w:t>(kiv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ve a 6. sz</w:t>
      </w:r>
      <w:r w:rsidR="006177BA" w:rsidRPr="006177BA">
        <w:rPr>
          <w:rFonts w:ascii="Arial" w:hAnsi="Arial" w:hint="eastAsia"/>
          <w:sz w:val="18"/>
          <w:lang w:val="hu-HU"/>
        </w:rPr>
        <w:t>á</w:t>
      </w:r>
      <w:r w:rsidR="006177BA" w:rsidRPr="006177BA">
        <w:rPr>
          <w:rFonts w:ascii="Arial" w:hAnsi="Arial"/>
          <w:sz w:val="18"/>
          <w:lang w:val="hu-HU"/>
        </w:rPr>
        <w:t>m</w:t>
      </w:r>
      <w:r w:rsidR="006177BA" w:rsidRPr="006177BA">
        <w:rPr>
          <w:rFonts w:ascii="Arial" w:hAnsi="Arial" w:hint="eastAsia"/>
          <w:sz w:val="18"/>
          <w:lang w:val="hu-HU"/>
        </w:rPr>
        <w:t>ú</w:t>
      </w:r>
      <w:r w:rsidR="006177BA" w:rsidRPr="006177BA">
        <w:rPr>
          <w:rFonts w:ascii="Arial" w:hAnsi="Arial"/>
          <w:sz w:val="18"/>
          <w:lang w:val="hu-HU"/>
        </w:rPr>
        <w:t xml:space="preserve"> mell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klet alapj</w:t>
      </w:r>
      <w:r w:rsidR="006177BA" w:rsidRPr="006177BA">
        <w:rPr>
          <w:rFonts w:ascii="Arial" w:hAnsi="Arial" w:hint="eastAsia"/>
          <w:sz w:val="18"/>
          <w:lang w:val="hu-HU"/>
        </w:rPr>
        <w:t>á</w:t>
      </w:r>
      <w:r w:rsidR="006177BA" w:rsidRPr="006177BA">
        <w:rPr>
          <w:rFonts w:ascii="Arial" w:hAnsi="Arial"/>
          <w:sz w:val="18"/>
          <w:lang w:val="hu-HU"/>
        </w:rPr>
        <w:t>n l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trej</w:t>
      </w:r>
      <w:r w:rsidR="006177BA" w:rsidRPr="006177BA">
        <w:rPr>
          <w:rFonts w:ascii="Arial" w:hAnsi="Arial" w:hint="eastAsia"/>
          <w:sz w:val="18"/>
          <w:lang w:val="hu-HU"/>
        </w:rPr>
        <w:t>ö</w:t>
      </w:r>
      <w:r w:rsidR="006177BA" w:rsidRPr="006177BA">
        <w:rPr>
          <w:rFonts w:ascii="Arial" w:hAnsi="Arial"/>
          <w:sz w:val="18"/>
          <w:lang w:val="hu-HU"/>
        </w:rPr>
        <w:t>tt kezess</w:t>
      </w:r>
      <w:r w:rsidR="006177BA" w:rsidRPr="006177BA">
        <w:rPr>
          <w:rFonts w:ascii="Arial" w:hAnsi="Arial" w:hint="eastAsia"/>
          <w:sz w:val="18"/>
          <w:lang w:val="hu-HU"/>
        </w:rPr>
        <w:t>é</w:t>
      </w:r>
      <w:r w:rsidR="006177BA" w:rsidRPr="006177BA">
        <w:rPr>
          <w:rFonts w:ascii="Arial" w:hAnsi="Arial"/>
          <w:sz w:val="18"/>
          <w:lang w:val="hu-HU"/>
        </w:rPr>
        <w:t>geket)</w:t>
      </w:r>
      <w:r w:rsidRPr="00D75DF9">
        <w:rPr>
          <w:rFonts w:ascii="Arial" w:hAnsi="Arial"/>
          <w:sz w:val="18"/>
          <w:lang w:val="hu-HU"/>
        </w:rPr>
        <w:t>, ha jogutódlásra (így különösen átalakulásra, szétválásra, egyesülésre, öröklésre, szerződésátruházásra, tartozásátvállalásra) kerül sor, úgy a kedvezményes és korrigált kezességi díj piaci kezességi díjra módosul, és az emelt összegű díjról kerül számviteli bizonylat kiállításra a jogutód felé.</w:t>
      </w:r>
    </w:p>
    <w:p w14:paraId="58D1C642" w14:textId="77777777" w:rsidR="00A83345" w:rsidRPr="006177BA" w:rsidRDefault="00A83345" w:rsidP="00A83345">
      <w:pPr>
        <w:pStyle w:val="Listaszerbekezds"/>
        <w:numPr>
          <w:ilvl w:val="1"/>
          <w:numId w:val="16"/>
        </w:numPr>
        <w:spacing w:after="120"/>
        <w:ind w:left="709" w:hanging="709"/>
        <w:jc w:val="both"/>
        <w:rPr>
          <w:rFonts w:ascii="Arial" w:hAnsi="Arial" w:cs="Arial"/>
          <w:sz w:val="18"/>
          <w:szCs w:val="18"/>
        </w:rPr>
      </w:pPr>
      <w:r w:rsidRPr="006177BA">
        <w:rPr>
          <w:rFonts w:ascii="Arial" w:hAnsi="Arial" w:cs="Arial"/>
          <w:sz w:val="18"/>
          <w:szCs w:val="18"/>
        </w:rPr>
        <w:t xml:space="preserve">Mentesülési – vagy a kapcsolódó kedvezményes – díjon nyújtott kezesség esetén az ügylet abban az esetben sem kerül átsorolásra a 2,5 millió eurós összeghatár alatti díjkategóriákba, amennyiben egy </w:t>
      </w:r>
      <w:r w:rsidRPr="006177BA">
        <w:rPr>
          <w:rFonts w:ascii="Arial" w:hAnsi="Arial" w:cs="Arial"/>
          <w:iCs/>
          <w:sz w:val="18"/>
          <w:szCs w:val="18"/>
        </w:rPr>
        <w:t>vállalkozás szerződéseihez vállalt alapítványi kezesség összege adott időpontban már nem haladja meg a 2,5 millió eurót.</w:t>
      </w:r>
    </w:p>
    <w:p w14:paraId="3E43CAFA" w14:textId="77777777" w:rsidR="00A83345" w:rsidRPr="00CD7EC4" w:rsidRDefault="00A83345" w:rsidP="00D75DF9">
      <w:pPr>
        <w:spacing w:before="0" w:after="0"/>
        <w:ind w:left="708"/>
        <w:rPr>
          <w:rFonts w:ascii="Arial" w:hAnsi="Arial"/>
          <w:sz w:val="18"/>
        </w:rPr>
      </w:pPr>
    </w:p>
    <w:p w14:paraId="5FD94DA0" w14:textId="77777777" w:rsidR="00C77FB7" w:rsidRPr="00CD7EC4" w:rsidRDefault="00C77FB7" w:rsidP="00D75DF9">
      <w:pPr>
        <w:numPr>
          <w:ilvl w:val="0"/>
          <w:numId w:val="16"/>
        </w:numPr>
        <w:spacing w:before="0" w:after="240"/>
        <w:ind w:left="709" w:hanging="709"/>
        <w:rPr>
          <w:rFonts w:ascii="Arial" w:eastAsia="Calibri" w:hAnsi="Arial"/>
          <w:sz w:val="18"/>
        </w:rPr>
      </w:pPr>
      <w:r w:rsidRPr="00D75DF9">
        <w:rPr>
          <w:rFonts w:ascii="Arial" w:hAnsi="Arial"/>
          <w:b/>
          <w:sz w:val="18"/>
          <w:lang w:val="hu-HU"/>
        </w:rPr>
        <w:t>Díjfizetési szabályok a beváltással összefüggésben</w:t>
      </w:r>
    </w:p>
    <w:p w14:paraId="2E83DCB3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4.1</w:t>
      </w:r>
      <w:r w:rsidRPr="00D75DF9">
        <w:rPr>
          <w:rFonts w:ascii="Arial" w:hAnsi="Arial"/>
          <w:sz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13B6963F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20" w:right="6" w:hanging="720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4.2</w:t>
      </w:r>
      <w:r w:rsidRPr="00D75DF9">
        <w:rPr>
          <w:rFonts w:ascii="Arial" w:hAnsi="Arial"/>
          <w:sz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5EAEB2D8" w14:textId="77777777" w:rsidR="00C77FB7" w:rsidRPr="00CD7EC4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</w:rPr>
      </w:pPr>
    </w:p>
    <w:p w14:paraId="6F0FFF01" w14:textId="77777777" w:rsidR="00C77FB7" w:rsidRPr="000D411D" w:rsidRDefault="00C77FB7" w:rsidP="00D75DF9">
      <w:pPr>
        <w:numPr>
          <w:ilvl w:val="5"/>
          <w:numId w:val="20"/>
        </w:numPr>
        <w:shd w:val="clear" w:color="auto" w:fill="FFFFFF"/>
        <w:spacing w:before="0"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53B6B0D7" w14:textId="77777777" w:rsidR="00C77FB7" w:rsidRPr="000D411D" w:rsidRDefault="00C77FB7" w:rsidP="00D75DF9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22AAFC1A" w14:textId="77777777" w:rsidR="00C77FB7" w:rsidRPr="000D411D" w:rsidRDefault="00C77FB7" w:rsidP="00D75DF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14963CAD" w14:textId="77777777" w:rsidR="00C77FB7" w:rsidRPr="000D411D" w:rsidRDefault="00C77FB7" w:rsidP="009A30ED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2A27A68" w14:textId="1316561C" w:rsidR="00C77FB7" w:rsidRPr="000D411D" w:rsidRDefault="00C77FB7" w:rsidP="00D75DF9">
      <w:pPr>
        <w:numPr>
          <w:ilvl w:val="0"/>
          <w:numId w:val="15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E3EE584" w14:textId="77EA68D8" w:rsidR="00C77FB7" w:rsidRPr="000D411D" w:rsidRDefault="00C77FB7" w:rsidP="000D411D">
      <w:pPr>
        <w:widowControl w:val="0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megfizetett kezességi díj a pénzügyi intézménynek </w:t>
      </w:r>
      <w:r w:rsidR="005C667F" w:rsidRPr="00306CAA">
        <w:rPr>
          <w:rFonts w:ascii="Arial" w:hAnsi="Arial"/>
          <w:sz w:val="18"/>
          <w:lang w:val="hu-HU"/>
        </w:rPr>
        <w:t>visszajár.</w:t>
      </w:r>
    </w:p>
    <w:p w14:paraId="1DF7A47D" w14:textId="40C95C57" w:rsidR="006177BA" w:rsidRDefault="006177BA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br w:type="page"/>
      </w:r>
    </w:p>
    <w:p w14:paraId="07E85212" w14:textId="77777777" w:rsidR="00C77FB7" w:rsidRPr="000D411D" w:rsidRDefault="00C77FB7" w:rsidP="00D75DF9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406E1757" w14:textId="77777777" w:rsidR="00C77FB7" w:rsidRPr="000D411D" w:rsidRDefault="00C77FB7" w:rsidP="00D75DF9">
      <w:pPr>
        <w:numPr>
          <w:ilvl w:val="5"/>
          <w:numId w:val="20"/>
        </w:numPr>
        <w:shd w:val="clear" w:color="auto" w:fill="FFFFFF"/>
        <w:spacing w:before="0" w:after="240"/>
        <w:ind w:left="1134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5A824CD4" w14:textId="6F04A349" w:rsidR="001010B2" w:rsidRDefault="00C77FB7" w:rsidP="009A30ED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53CA5441" w14:textId="7E443A2D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 IV.1. pontban rögzített egyezség teljesülése esetén</w:t>
      </w:r>
      <w:r w:rsidR="006177BA" w:rsidRPr="006177BA">
        <w:t xml:space="preserve"> </w:t>
      </w:r>
      <w:r w:rsidR="006177BA" w:rsidRPr="006177BA">
        <w:rPr>
          <w:rFonts w:ascii="Arial" w:hAnsi="Arial" w:cs="Arial"/>
          <w:sz w:val="18"/>
          <w:szCs w:val="18"/>
          <w:lang w:val="hu-HU"/>
        </w:rPr>
        <w:t>amennyiben ezzel az Alap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í</w:t>
      </w:r>
      <w:r w:rsidR="006177BA" w:rsidRPr="006177BA">
        <w:rPr>
          <w:rFonts w:ascii="Arial" w:hAnsi="Arial" w:cs="Arial"/>
          <w:sz w:val="18"/>
          <w:szCs w:val="18"/>
          <w:lang w:val="hu-HU"/>
        </w:rPr>
        <w:t>tv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á</w:t>
      </w:r>
      <w:r w:rsidR="006177BA" w:rsidRPr="006177BA">
        <w:rPr>
          <w:rFonts w:ascii="Arial" w:hAnsi="Arial" w:cs="Arial"/>
          <w:sz w:val="18"/>
          <w:szCs w:val="18"/>
          <w:lang w:val="hu-HU"/>
        </w:rPr>
        <w:t>ny fizet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é</w:t>
      </w:r>
      <w:r w:rsidR="006177BA" w:rsidRPr="006177BA">
        <w:rPr>
          <w:rFonts w:ascii="Arial" w:hAnsi="Arial" w:cs="Arial"/>
          <w:sz w:val="18"/>
          <w:szCs w:val="18"/>
          <w:lang w:val="hu-HU"/>
        </w:rPr>
        <w:t>si k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ö</w:t>
      </w:r>
      <w:r w:rsidR="006177BA" w:rsidRPr="006177BA">
        <w:rPr>
          <w:rFonts w:ascii="Arial" w:hAnsi="Arial" w:cs="Arial"/>
          <w:sz w:val="18"/>
          <w:szCs w:val="18"/>
          <w:lang w:val="hu-HU"/>
        </w:rPr>
        <w:t>telezetts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é</w:t>
      </w:r>
      <w:r w:rsidR="006177BA" w:rsidRPr="006177BA">
        <w:rPr>
          <w:rFonts w:ascii="Arial" w:hAnsi="Arial" w:cs="Arial"/>
          <w:sz w:val="18"/>
          <w:szCs w:val="18"/>
          <w:lang w:val="hu-HU"/>
        </w:rPr>
        <w:t>ge is megsz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ű</w:t>
      </w:r>
      <w:r w:rsidR="006177BA" w:rsidRPr="006177BA">
        <w:rPr>
          <w:rFonts w:ascii="Arial" w:hAnsi="Arial" w:cs="Arial"/>
          <w:sz w:val="18"/>
          <w:szCs w:val="18"/>
          <w:lang w:val="hu-HU"/>
        </w:rPr>
        <w:t xml:space="preserve">nik, </w:t>
      </w:r>
      <w:r w:rsidR="006177BA" w:rsidRPr="006177BA">
        <w:rPr>
          <w:rFonts w:ascii="Arial" w:hAnsi="Arial" w:cs="Arial" w:hint="eastAsia"/>
          <w:sz w:val="18"/>
          <w:szCs w:val="18"/>
          <w:lang w:val="hu-HU"/>
        </w:rPr>
        <w:t>ú</w:t>
      </w:r>
      <w:r w:rsidR="006177BA" w:rsidRPr="006177BA">
        <w:rPr>
          <w:rFonts w:ascii="Arial" w:hAnsi="Arial" w:cs="Arial"/>
          <w:sz w:val="18"/>
          <w:szCs w:val="18"/>
          <w:lang w:val="hu-HU"/>
        </w:rPr>
        <w:t>gy</w:t>
      </w:r>
      <w:r w:rsidRPr="000D411D">
        <w:rPr>
          <w:rFonts w:ascii="Arial" w:hAnsi="Arial" w:cs="Arial"/>
          <w:sz w:val="18"/>
          <w:szCs w:val="18"/>
          <w:lang w:val="hu-HU"/>
        </w:rPr>
        <w:t xml:space="preserve">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140F2964" w14:textId="77777777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24B3AAC3" w14:textId="77777777" w:rsidR="00C77FB7" w:rsidRPr="000D411D" w:rsidRDefault="00C77FB7" w:rsidP="00D75DF9">
      <w:pPr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1BAAAE9E" w14:textId="77777777" w:rsidR="00C77FB7" w:rsidRPr="000D411D" w:rsidRDefault="00C77FB7" w:rsidP="000D411D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DF9AA94" w14:textId="77777777" w:rsidR="00C77FB7" w:rsidRPr="000D411D" w:rsidRDefault="00C77FB7" w:rsidP="00D75DF9">
      <w:pPr>
        <w:shd w:val="clear" w:color="auto" w:fill="FFFFFF"/>
        <w:spacing w:before="0" w:after="60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6E11DF08" w14:textId="77777777" w:rsidR="00C77FB7" w:rsidRPr="00D75DF9" w:rsidRDefault="00C77FB7" w:rsidP="00D75DF9">
      <w:pPr>
        <w:shd w:val="clear" w:color="auto" w:fill="FFFFFF"/>
        <w:spacing w:before="0" w:after="60"/>
        <w:rPr>
          <w:rFonts w:ascii="Arial" w:hAnsi="Arial"/>
          <w:b/>
          <w:sz w:val="18"/>
          <w:lang w:val="hu-HU"/>
        </w:rPr>
      </w:pPr>
    </w:p>
    <w:p w14:paraId="3EA62C12" w14:textId="77777777" w:rsidR="00C77FB7" w:rsidRPr="000D411D" w:rsidRDefault="00C77FB7" w:rsidP="00D75DF9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0D411D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07F57341" w14:textId="77777777" w:rsidR="00C77FB7" w:rsidRPr="000D411D" w:rsidRDefault="00C77FB7" w:rsidP="00D75DF9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1.1</w:t>
      </w:r>
      <w:r w:rsidRPr="000D411D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6E532761" w14:textId="77777777" w:rsidR="00C77FB7" w:rsidRPr="000D411D" w:rsidRDefault="00C77FB7" w:rsidP="00D75DF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a)</w:t>
      </w:r>
      <w:r w:rsidRPr="000D411D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071A98DF" w14:textId="77777777" w:rsidR="00C77FB7" w:rsidRPr="000D411D" w:rsidRDefault="00C77FB7" w:rsidP="00D75DF9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b)</w:t>
      </w:r>
      <w:r w:rsidRPr="000D411D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22675464" w14:textId="77777777" w:rsidR="00C77FB7" w:rsidRPr="000D411D" w:rsidRDefault="00C77FB7" w:rsidP="00D75DF9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c)</w:t>
      </w:r>
      <w:r w:rsidRPr="000D411D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711D4EB3" w14:textId="77777777" w:rsidR="00C77FB7" w:rsidRPr="000D411D" w:rsidRDefault="00C77FB7" w:rsidP="00D75DF9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d)</w:t>
      </w:r>
      <w:r w:rsidRPr="000D411D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0C612915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1.2</w:t>
      </w:r>
      <w:r w:rsidRPr="000D411D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0671CE71" w14:textId="77777777" w:rsidR="00C77FB7" w:rsidRPr="000D411D" w:rsidRDefault="00C77FB7" w:rsidP="00D75DF9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0D411D">
        <w:rPr>
          <w:rFonts w:ascii="Arial" w:hAnsi="Arial" w:cs="Arial"/>
          <w:bCs/>
          <w:sz w:val="18"/>
          <w:szCs w:val="18"/>
          <w:lang w:val="hu-HU"/>
        </w:rPr>
        <w:t>1.3</w:t>
      </w:r>
      <w:r w:rsidRPr="000D411D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D411D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C77FB7" w:rsidRPr="00C77FB7" w14:paraId="2484C62F" w14:textId="77777777" w:rsidTr="00183F09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098749" w14:textId="77777777" w:rsidR="00C77FB7" w:rsidRPr="000D411D" w:rsidRDefault="00C77FB7" w:rsidP="00D75DF9">
            <w:pPr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7EB3D" w14:textId="77777777" w:rsidR="00C77FB7" w:rsidRPr="000D411D" w:rsidRDefault="00C77FB7" w:rsidP="00D75DF9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16285655" w14:textId="77777777" w:rsidR="00C77FB7" w:rsidRPr="000D411D" w:rsidRDefault="00C77FB7" w:rsidP="00D75DF9">
            <w:pPr>
              <w:spacing w:before="0" w:after="60"/>
              <w:ind w:left="0" w:right="113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C77FB7" w:rsidRPr="00C77FB7" w14:paraId="46C85BDB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B3C19C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172A8E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C77FB7" w:rsidRPr="00C77FB7" w14:paraId="077FB041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78CB56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1D4F80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C77FB7" w:rsidRPr="00C77FB7" w14:paraId="5A9E7E4A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95D6B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A1A75D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C77FB7" w:rsidRPr="00C77FB7" w14:paraId="2FB6ECE2" w14:textId="77777777" w:rsidTr="00183F09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5FBF1E" w14:textId="77777777" w:rsidR="00C77FB7" w:rsidRPr="000D411D" w:rsidRDefault="00C77FB7" w:rsidP="00D75DF9">
            <w:pPr>
              <w:spacing w:before="0" w:after="60"/>
              <w:ind w:left="57" w:right="57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339A65" w14:textId="77777777" w:rsidR="00C77FB7" w:rsidRPr="000D411D" w:rsidRDefault="00C77FB7" w:rsidP="00D75DF9">
            <w:pPr>
              <w:spacing w:before="0" w:after="60"/>
              <w:ind w:left="0" w:right="345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D411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17AA6BED" w14:textId="77777777" w:rsidR="00C77FB7" w:rsidRPr="000D411D" w:rsidRDefault="00C77FB7" w:rsidP="00D75DF9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0D411D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7FFB240F" w14:textId="77777777" w:rsidR="00C77FB7" w:rsidRPr="00CD7EC4" w:rsidRDefault="00C77FB7" w:rsidP="00D75DF9">
      <w:pPr>
        <w:numPr>
          <w:ilvl w:val="0"/>
          <w:numId w:val="45"/>
        </w:numPr>
        <w:shd w:val="clear" w:color="auto" w:fill="FFFFFF"/>
        <w:spacing w:before="0" w:after="240"/>
        <w:ind w:left="426" w:hanging="426"/>
        <w:rPr>
          <w:rFonts w:ascii="Arial" w:hAnsi="Arial"/>
          <w:b/>
          <w:sz w:val="18"/>
        </w:rPr>
      </w:pPr>
      <w:r w:rsidRPr="00D75DF9">
        <w:rPr>
          <w:rFonts w:ascii="Arial" w:hAnsi="Arial"/>
          <w:b/>
          <w:sz w:val="18"/>
          <w:lang w:val="hu-HU"/>
        </w:rPr>
        <w:t>A beváltási határidő meghosszabbításnak díja</w:t>
      </w:r>
    </w:p>
    <w:p w14:paraId="60A33FCB" w14:textId="77777777" w:rsidR="00C77FB7" w:rsidRPr="000D411D" w:rsidRDefault="00C77FB7" w:rsidP="00D75DF9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D411D">
        <w:rPr>
          <w:rFonts w:ascii="Arial" w:hAnsi="Arial" w:cs="Arial"/>
          <w:sz w:val="18"/>
          <w:szCs w:val="18"/>
          <w:lang w:val="hu-HU"/>
        </w:rPr>
        <w:t>2.1</w:t>
      </w:r>
      <w:r w:rsidRPr="000D411D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71D341C2" w14:textId="5AF23C86" w:rsidR="00C77FB7" w:rsidRPr="00CD7EC4" w:rsidRDefault="00C77FB7" w:rsidP="00D75DF9">
      <w:pPr>
        <w:numPr>
          <w:ilvl w:val="1"/>
          <w:numId w:val="46"/>
        </w:numPr>
        <w:shd w:val="clear" w:color="auto" w:fill="FFFFFF"/>
        <w:spacing w:before="0" w:after="240"/>
        <w:ind w:left="426" w:hanging="42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 xml:space="preserve">A beváltási határidő hosszabbítási díj mértéke évente 0,1%, vetítési alapja a kezességgel biztosított </w:t>
      </w:r>
      <w:r w:rsidRPr="000D411D">
        <w:rPr>
          <w:rFonts w:ascii="Arial" w:hAnsi="Arial" w:cs="Arial"/>
          <w:sz w:val="18"/>
          <w:szCs w:val="18"/>
          <w:lang w:val="hu-HU"/>
        </w:rPr>
        <w:t>összeg</w:t>
      </w:r>
      <w:r w:rsidRPr="00D75DF9">
        <w:rPr>
          <w:rFonts w:ascii="Arial" w:hAnsi="Arial"/>
          <w:sz w:val="18"/>
          <w:lang w:val="hu-HU"/>
        </w:rPr>
        <w:t>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508EA8B6" w14:textId="77777777" w:rsidR="00C77FB7" w:rsidRPr="00CD7EC4" w:rsidRDefault="00C77FB7" w:rsidP="00D75DF9">
      <w:pPr>
        <w:shd w:val="clear" w:color="auto" w:fill="FFFFFF"/>
        <w:spacing w:before="0" w:after="60"/>
        <w:ind w:left="426" w:hanging="426"/>
        <w:rPr>
          <w:rFonts w:ascii="Arial" w:hAnsi="Arial"/>
          <w:sz w:val="18"/>
        </w:rPr>
      </w:pPr>
      <w:r w:rsidRPr="00D75DF9">
        <w:rPr>
          <w:rFonts w:ascii="Arial" w:hAnsi="Arial"/>
          <w:sz w:val="18"/>
          <w:lang w:val="hu-HU"/>
        </w:rPr>
        <w:t>2.3</w:t>
      </w:r>
      <w:r w:rsidRPr="00D75DF9">
        <w:rPr>
          <w:rFonts w:ascii="Arial" w:hAnsi="Arial"/>
          <w:sz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p w14:paraId="0EB2DFAD" w14:textId="77777777" w:rsidR="009F0EA4" w:rsidRPr="00CC1CA8" w:rsidRDefault="009F0EA4" w:rsidP="003F720D">
      <w:pPr>
        <w:ind w:left="0"/>
        <w:rPr>
          <w:rFonts w:ascii="Arial" w:hAnsi="Arial" w:cs="Arial"/>
          <w:sz w:val="18"/>
          <w:szCs w:val="18"/>
          <w:lang w:val="hu-HU"/>
        </w:rPr>
      </w:pPr>
    </w:p>
    <w:sectPr w:rsidR="009F0EA4" w:rsidRPr="00CC1CA8" w:rsidSect="005674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276" w:right="1274" w:bottom="284" w:left="993" w:header="142" w:footer="1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AC467" w14:textId="77777777" w:rsidR="000D411D" w:rsidRDefault="000D411D">
      <w:pPr>
        <w:spacing w:before="0" w:after="0"/>
      </w:pPr>
      <w:r>
        <w:separator/>
      </w:r>
    </w:p>
  </w:endnote>
  <w:endnote w:type="continuationSeparator" w:id="0">
    <w:p w14:paraId="4FC9E3C0" w14:textId="77777777" w:rsidR="000D411D" w:rsidRDefault="000D411D">
      <w:pPr>
        <w:spacing w:before="0" w:after="0"/>
      </w:pPr>
      <w:r>
        <w:continuationSeparator/>
      </w:r>
    </w:p>
  </w:endnote>
  <w:endnote w:type="continuationNotice" w:id="1">
    <w:p w14:paraId="370A641D" w14:textId="77777777" w:rsidR="000D411D" w:rsidRDefault="000D411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1A9C7" w14:textId="77777777" w:rsidR="002B3ECF" w:rsidRDefault="002B3EC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213B1960" w14:textId="77777777" w:rsidR="002B3ECF" w:rsidRDefault="002B3EC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797A5" w14:textId="585C014D" w:rsidR="002B3ECF" w:rsidRPr="00911EDB" w:rsidRDefault="002B3ECF" w:rsidP="005674E5">
    <w:pPr>
      <w:pStyle w:val="llb"/>
      <w:spacing w:before="0" w:after="0"/>
      <w:ind w:left="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FE9D4" w14:textId="63C4C85B" w:rsidR="002B3ECF" w:rsidRPr="00C4026F" w:rsidRDefault="00C4026F" w:rsidP="00C4026F">
    <w:pPr>
      <w:pStyle w:val="llb"/>
      <w:tabs>
        <w:tab w:val="left" w:pos="765"/>
      </w:tabs>
      <w:rPr>
        <w:rFonts w:ascii="Arial" w:hAnsi="Arial" w:cs="Arial"/>
        <w:sz w:val="16"/>
        <w:szCs w:val="16"/>
      </w:rPr>
    </w:pPr>
    <w:r>
      <w:tab/>
    </w:r>
    <w:r w:rsidRPr="00C4026F">
      <w:rPr>
        <w:rFonts w:ascii="Arial" w:hAnsi="Arial" w:cs="Arial"/>
        <w:sz w:val="16"/>
        <w:szCs w:val="16"/>
      </w:rPr>
      <w:t>*</w:t>
    </w:r>
    <w:r w:rsidRPr="00C4026F">
      <w:rPr>
        <w:rFonts w:ascii="Arial" w:hAnsi="Arial" w:cs="Arial"/>
        <w:sz w:val="14"/>
        <w:szCs w:val="14"/>
      </w:rPr>
      <w:t xml:space="preserve">Az </w:t>
    </w:r>
    <w:proofErr w:type="spellStart"/>
    <w:r w:rsidRPr="00C4026F">
      <w:rPr>
        <w:rFonts w:ascii="Arial" w:hAnsi="Arial" w:cs="Arial"/>
        <w:sz w:val="14"/>
        <w:szCs w:val="14"/>
      </w:rPr>
      <w:t>Alapítvány</w:t>
    </w:r>
    <w:proofErr w:type="spellEnd"/>
    <w:r w:rsidRPr="00C4026F">
      <w:rPr>
        <w:rFonts w:ascii="Arial" w:hAnsi="Arial" w:cs="Arial"/>
        <w:sz w:val="14"/>
        <w:szCs w:val="14"/>
      </w:rPr>
      <w:t xml:space="preserve"> a 202</w:t>
    </w:r>
    <w:r w:rsidR="003A2696">
      <w:rPr>
        <w:rFonts w:ascii="Arial" w:hAnsi="Arial" w:cs="Arial"/>
        <w:sz w:val="14"/>
        <w:szCs w:val="14"/>
      </w:rPr>
      <w:t>4</w:t>
    </w:r>
    <w:r w:rsidRPr="00C4026F">
      <w:rPr>
        <w:rFonts w:ascii="Arial" w:hAnsi="Arial" w:cs="Arial"/>
        <w:sz w:val="14"/>
        <w:szCs w:val="14"/>
      </w:rPr>
      <w:t xml:space="preserve">. </w:t>
    </w:r>
    <w:proofErr w:type="spellStart"/>
    <w:r w:rsidR="003A2696">
      <w:rPr>
        <w:rFonts w:ascii="Arial" w:hAnsi="Arial" w:cs="Arial"/>
        <w:sz w:val="14"/>
        <w:szCs w:val="14"/>
      </w:rPr>
      <w:t>szeptember</w:t>
    </w:r>
    <w:proofErr w:type="spellEnd"/>
    <w:r w:rsidRPr="00C4026F">
      <w:rPr>
        <w:rFonts w:ascii="Arial" w:hAnsi="Arial" w:cs="Arial"/>
        <w:sz w:val="14"/>
        <w:szCs w:val="14"/>
      </w:rPr>
      <w:t xml:space="preserve"> 1-től </w:t>
    </w:r>
    <w:proofErr w:type="spellStart"/>
    <w:r w:rsidRPr="00C4026F">
      <w:rPr>
        <w:rFonts w:ascii="Arial" w:hAnsi="Arial" w:cs="Arial"/>
        <w:sz w:val="14"/>
        <w:szCs w:val="14"/>
      </w:rPr>
      <w:t>érvényes</w:t>
    </w:r>
    <w:proofErr w:type="spellEnd"/>
    <w:r w:rsidRPr="00C4026F">
      <w:rPr>
        <w:rFonts w:ascii="Arial" w:hAnsi="Arial" w:cs="Arial"/>
        <w:sz w:val="14"/>
        <w:szCs w:val="14"/>
      </w:rPr>
      <w:t xml:space="preserve"> </w:t>
    </w:r>
    <w:proofErr w:type="spellStart"/>
    <w:r w:rsidRPr="00C4026F">
      <w:rPr>
        <w:rFonts w:ascii="Arial" w:hAnsi="Arial" w:cs="Arial"/>
        <w:sz w:val="14"/>
        <w:szCs w:val="14"/>
      </w:rPr>
      <w:t>Kezességi</w:t>
    </w:r>
    <w:proofErr w:type="spellEnd"/>
    <w:r w:rsidRPr="00C4026F">
      <w:rPr>
        <w:rFonts w:ascii="Arial" w:hAnsi="Arial" w:cs="Arial"/>
        <w:sz w:val="14"/>
        <w:szCs w:val="14"/>
      </w:rPr>
      <w:t xml:space="preserve"> Általános Szerződési Feltételek dokumentumot a PartnerWeben 2025. május 30-ig benyújtott kérelmek vonatkozásában fogadja el.</w:t>
    </w:r>
    <w:r w:rsidRPr="00C4026F"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300AC" w14:textId="77777777" w:rsidR="000D411D" w:rsidRDefault="000D411D">
      <w:pPr>
        <w:spacing w:before="0" w:after="0"/>
      </w:pPr>
      <w:r>
        <w:separator/>
      </w:r>
    </w:p>
  </w:footnote>
  <w:footnote w:type="continuationSeparator" w:id="0">
    <w:p w14:paraId="68DB2299" w14:textId="77777777" w:rsidR="000D411D" w:rsidRDefault="000D411D">
      <w:pPr>
        <w:spacing w:before="0" w:after="0"/>
      </w:pPr>
      <w:r>
        <w:continuationSeparator/>
      </w:r>
    </w:p>
  </w:footnote>
  <w:footnote w:type="continuationNotice" w:id="1">
    <w:p w14:paraId="44715401" w14:textId="77777777" w:rsidR="000D411D" w:rsidRDefault="000D411D">
      <w:pPr>
        <w:spacing w:before="0" w:after="0"/>
      </w:pPr>
    </w:p>
  </w:footnote>
  <w:footnote w:id="2">
    <w:p w14:paraId="3ACB3973" w14:textId="77777777" w:rsidR="002B3ECF" w:rsidRPr="0069021F" w:rsidRDefault="002B3ECF" w:rsidP="001E7652">
      <w:pPr>
        <w:spacing w:after="0"/>
        <w:ind w:left="0"/>
        <w:rPr>
          <w:sz w:val="14"/>
          <w:szCs w:val="14"/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2167C4C6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</w:rPr>
        <w:footnoteRef/>
      </w:r>
      <w:r w:rsidRPr="0069021F">
        <w:rPr>
          <w:sz w:val="14"/>
          <w:szCs w:val="14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24F4AB29" w14:textId="77777777" w:rsidR="002B3ECF" w:rsidRPr="0069021F" w:rsidRDefault="002B3ECF" w:rsidP="00074ECE">
      <w:pPr>
        <w:pStyle w:val="Lbjegyzetszveg"/>
        <w:jc w:val="both"/>
        <w:rPr>
          <w:sz w:val="14"/>
          <w:szCs w:val="14"/>
        </w:rPr>
      </w:pP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footnoteRef/>
      </w:r>
      <w:r w:rsidRPr="0069021F">
        <w:rPr>
          <w:rStyle w:val="Lbjegyzet-hivatkozs"/>
          <w:rFonts w:ascii="Arial" w:hAnsi="Arial" w:cs="Arial"/>
          <w:sz w:val="14"/>
          <w:szCs w:val="14"/>
          <w:lang w:val="hu-HU" w:eastAsia="hu-HU"/>
        </w:rPr>
        <w:t xml:space="preserve"> </w:t>
      </w:r>
      <w:r w:rsidRPr="0069021F">
        <w:rPr>
          <w:rFonts w:ascii="Arial" w:hAnsi="Arial" w:cs="Arial"/>
          <w:i/>
          <w:iCs/>
          <w:sz w:val="14"/>
          <w:szCs w:val="14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 3. pontja alapján. </w:t>
      </w:r>
    </w:p>
  </w:footnote>
  <w:footnote w:id="5">
    <w:p w14:paraId="0BEB2410" w14:textId="77777777" w:rsidR="00C77FB7" w:rsidRPr="00E01407" w:rsidRDefault="00C77FB7" w:rsidP="00C77FB7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56D33A66" w14:textId="77777777" w:rsidR="00C77FB7" w:rsidRPr="00D75DF9" w:rsidRDefault="00C77FB7" w:rsidP="00C77FB7">
      <w:pPr>
        <w:pStyle w:val="Lbjegyzetszveg"/>
        <w:rPr>
          <w:rFonts w:ascii="Arial" w:hAnsi="Arial"/>
          <w:sz w:val="18"/>
          <w:lang w:val="hu-HU"/>
        </w:rPr>
      </w:pPr>
      <w:r w:rsidRPr="00D75DF9">
        <w:rPr>
          <w:rStyle w:val="Lbjegyzet-hivatkozs"/>
          <w:rFonts w:ascii="Arial" w:hAnsi="Arial"/>
          <w:sz w:val="18"/>
        </w:rPr>
        <w:footnoteRef/>
      </w:r>
      <w:r w:rsidRPr="00D75DF9">
        <w:rPr>
          <w:rFonts w:ascii="Arial" w:hAnsi="Arial"/>
          <w:sz w:val="18"/>
        </w:rPr>
        <w:t xml:space="preserve"> </w:t>
      </w:r>
      <w:r w:rsidRPr="00D75DF9">
        <w:rPr>
          <w:rFonts w:ascii="Arial" w:hAnsi="Arial"/>
          <w:sz w:val="18"/>
          <w:lang w:val="hu-HU"/>
        </w:rPr>
        <w:t>A Díjrendeletek alapján</w:t>
      </w:r>
      <w:r w:rsidRPr="00E01407">
        <w:rPr>
          <w:rFonts w:ascii="Arial" w:hAnsi="Arial" w:cs="Arial"/>
          <w:sz w:val="18"/>
          <w:szCs w:val="18"/>
          <w:lang w:val="hu-HU"/>
        </w:rPr>
        <w:t>.</w:t>
      </w:r>
    </w:p>
  </w:footnote>
  <w:footnote w:id="7">
    <w:p w14:paraId="00744AED" w14:textId="77777777" w:rsidR="00C77FB7" w:rsidRPr="00D75DF9" w:rsidRDefault="00C77FB7" w:rsidP="00C77FB7">
      <w:pPr>
        <w:pStyle w:val="Lbjegyzetszveg"/>
        <w:rPr>
          <w:rFonts w:ascii="Arial" w:hAnsi="Arial"/>
          <w:sz w:val="18"/>
          <w:lang w:val="hu-HU"/>
        </w:rPr>
      </w:pPr>
      <w:r w:rsidRPr="00D75DF9">
        <w:rPr>
          <w:rStyle w:val="Lbjegyzet-hivatkozs"/>
          <w:rFonts w:ascii="Arial" w:hAnsi="Arial"/>
          <w:sz w:val="18"/>
        </w:rPr>
        <w:footnoteRef/>
      </w:r>
      <w:r w:rsidRPr="00D75DF9">
        <w:rPr>
          <w:rFonts w:ascii="Arial" w:hAnsi="Arial"/>
          <w:sz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5BA1B395" w14:textId="77777777" w:rsidR="00A83345" w:rsidRPr="00F47A3B" w:rsidRDefault="00A83345" w:rsidP="00A83345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65734B98" w14:textId="77777777" w:rsidR="00A83345" w:rsidRPr="00AD7D9E" w:rsidRDefault="00A83345" w:rsidP="00A83345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1327F8B6" w14:textId="77777777" w:rsidR="00A83345" w:rsidRPr="00945AA7" w:rsidRDefault="00A83345" w:rsidP="00A83345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7F7D2692" w14:textId="77777777" w:rsidR="00A83345" w:rsidRPr="00A83345" w:rsidRDefault="00A83345" w:rsidP="00A83345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83345">
        <w:rPr>
          <w:rStyle w:val="Lbjegyzet-hivatkozs"/>
          <w:rFonts w:ascii="Arial" w:hAnsi="Arial" w:cs="Arial"/>
          <w:sz w:val="18"/>
          <w:szCs w:val="18"/>
        </w:rPr>
        <w:footnoteRef/>
      </w:r>
      <w:r w:rsidRPr="00A83345">
        <w:rPr>
          <w:rFonts w:ascii="Arial" w:hAnsi="Arial" w:cs="Arial"/>
          <w:sz w:val="18"/>
          <w:szCs w:val="18"/>
        </w:rPr>
        <w:t xml:space="preserve"> </w:t>
      </w:r>
      <w:r w:rsidRPr="00A83345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36A576B4" w14:textId="37349CEE" w:rsidR="00A83345" w:rsidRPr="006177BA" w:rsidRDefault="00A83345">
      <w:pPr>
        <w:pStyle w:val="Lbjegyzetszveg"/>
        <w:rPr>
          <w:lang w:val="hu-HU"/>
        </w:rPr>
      </w:pPr>
      <w:r w:rsidRPr="006177BA">
        <w:rPr>
          <w:rStyle w:val="Lbjegyzet-hivatkozs"/>
          <w:rFonts w:ascii="Arial" w:hAnsi="Arial" w:cs="Arial"/>
          <w:sz w:val="18"/>
          <w:szCs w:val="18"/>
        </w:rPr>
        <w:footnoteRef/>
      </w:r>
      <w:r w:rsidRPr="006177BA">
        <w:rPr>
          <w:rFonts w:ascii="Arial" w:hAnsi="Arial" w:cs="Arial"/>
          <w:sz w:val="18"/>
          <w:szCs w:val="18"/>
        </w:rPr>
        <w:t xml:space="preserve"> </w:t>
      </w:r>
      <w:r w:rsidRPr="006177BA">
        <w:rPr>
          <w:rFonts w:ascii="Arial" w:hAnsi="Arial" w:cs="Arial"/>
          <w:sz w:val="18"/>
          <w:szCs w:val="18"/>
          <w:lang w:val="hu-HU"/>
        </w:rPr>
        <w:t>A 2,5 millió eurós összeghatár feletti ügyletek esetén nem kerül alkalmazásra.</w:t>
      </w:r>
    </w:p>
  </w:footnote>
  <w:footnote w:id="13">
    <w:p w14:paraId="1D1FE3AD" w14:textId="77777777" w:rsidR="00A83345" w:rsidRPr="005A3948" w:rsidRDefault="00A83345" w:rsidP="00A83345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6D672" w14:textId="77777777" w:rsidR="002B3ECF" w:rsidRDefault="002B3EC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5B1D9606" w14:textId="77777777" w:rsidR="002B3ECF" w:rsidRDefault="002B3EC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474970"/>
      <w:docPartObj>
        <w:docPartGallery w:val="Page Numbers (Top of Page)"/>
        <w:docPartUnique/>
      </w:docPartObj>
    </w:sdtPr>
    <w:sdtEndPr/>
    <w:sdtContent>
      <w:p w14:paraId="484557CE" w14:textId="77777777" w:rsidR="002B3ECF" w:rsidRDefault="002B3ECF">
        <w:pPr>
          <w:pStyle w:val="lfej"/>
          <w:jc w:val="right"/>
        </w:pPr>
        <w:r>
          <w:rPr>
            <w:noProof/>
            <w:lang w:val="hu-HU"/>
          </w:rPr>
          <w:drawing>
            <wp:anchor distT="0" distB="0" distL="114300" distR="114300" simplePos="0" relativeHeight="251663360" behindDoc="0" locked="0" layoutInCell="1" allowOverlap="1" wp14:anchorId="0AFFE038" wp14:editId="15498C0E">
              <wp:simplePos x="0" y="0"/>
              <wp:positionH relativeFrom="column">
                <wp:posOffset>-253365</wp:posOffset>
              </wp:positionH>
              <wp:positionV relativeFrom="paragraph">
                <wp:posOffset>158750</wp:posOffset>
              </wp:positionV>
              <wp:extent cx="1449705" cy="493395"/>
              <wp:effectExtent l="0" t="0" r="0" b="1905"/>
              <wp:wrapSquare wrapText="bothSides"/>
              <wp:docPr id="3" name="Kép 3" descr="Leírás: Leírás: Leírás: AVHGA_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Kép 2" descr="Leírás: Leírás: Leírás: AVHGA_logo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9705" cy="493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7464704" w14:textId="77777777" w:rsidR="002B3ECF" w:rsidRPr="008B267B" w:rsidRDefault="002B3ECF">
        <w:pPr>
          <w:pStyle w:val="lfej"/>
          <w:jc w:val="right"/>
          <w:rPr>
            <w:rFonts w:ascii="Arial" w:hAnsi="Arial" w:cs="Arial"/>
            <w:sz w:val="18"/>
            <w:szCs w:val="18"/>
          </w:rPr>
        </w:pPr>
        <w:r w:rsidRPr="008B267B">
          <w:rPr>
            <w:rFonts w:ascii="Arial" w:hAnsi="Arial" w:cs="Arial"/>
            <w:sz w:val="18"/>
            <w:szCs w:val="18"/>
          </w:rPr>
          <w:fldChar w:fldCharType="begin"/>
        </w:r>
        <w:r w:rsidRPr="008B267B">
          <w:rPr>
            <w:rFonts w:ascii="Arial" w:hAnsi="Arial" w:cs="Arial"/>
            <w:sz w:val="18"/>
            <w:szCs w:val="18"/>
          </w:rPr>
          <w:instrText>PAGE   \* MERGEFORMAT</w:instrText>
        </w:r>
        <w:r w:rsidRPr="008B267B">
          <w:rPr>
            <w:rFonts w:ascii="Arial" w:hAnsi="Arial" w:cs="Arial"/>
            <w:sz w:val="18"/>
            <w:szCs w:val="18"/>
          </w:rPr>
          <w:fldChar w:fldCharType="separate"/>
        </w:r>
        <w:r w:rsidRPr="008B267B">
          <w:rPr>
            <w:rFonts w:ascii="Arial" w:hAnsi="Arial" w:cs="Arial"/>
            <w:sz w:val="18"/>
            <w:szCs w:val="18"/>
            <w:lang w:val="hu-HU"/>
          </w:rPr>
          <w:t>2</w:t>
        </w:r>
        <w:r w:rsidRPr="008B267B">
          <w:rPr>
            <w:rFonts w:ascii="Arial" w:hAnsi="Arial" w:cs="Arial"/>
            <w:sz w:val="18"/>
            <w:szCs w:val="18"/>
          </w:rPr>
          <w:fldChar w:fldCharType="end"/>
        </w:r>
        <w:r>
          <w:rPr>
            <w:rFonts w:ascii="Arial" w:hAnsi="Arial" w:cs="Arial"/>
            <w:sz w:val="18"/>
            <w:szCs w:val="18"/>
          </w:rPr>
          <w:t xml:space="preserve">. </w:t>
        </w:r>
        <w:r w:rsidRPr="008B267B">
          <w:rPr>
            <w:rFonts w:ascii="Arial" w:hAnsi="Arial" w:cs="Arial"/>
            <w:sz w:val="18"/>
            <w:szCs w:val="18"/>
            <w:lang w:val="hu-HU"/>
          </w:rPr>
          <w:t>oldal</w:t>
        </w:r>
      </w:p>
      <w:p w14:paraId="4E1F1B60" w14:textId="77777777" w:rsidR="002B3ECF" w:rsidRDefault="002B3ECF">
        <w:pPr>
          <w:pStyle w:val="lfej"/>
          <w:jc w:val="right"/>
        </w:pPr>
      </w:p>
      <w:p w14:paraId="1A6A1130" w14:textId="77777777" w:rsidR="002B3ECF" w:rsidRDefault="002B3ECF" w:rsidP="008B267B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rPr>
            <w:rFonts w:ascii="Arial" w:hAnsi="Arial" w:cs="Arial"/>
            <w:b/>
            <w:sz w:val="24"/>
            <w:szCs w:val="24"/>
            <w:lang w:val="hu-HU"/>
          </w:rPr>
        </w:pPr>
        <w:r>
          <w:rPr>
            <w:rFonts w:ascii="Times New Roman" w:hAnsi="Times New Roman"/>
          </w:rPr>
          <w:tab/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</w:rPr>
          <w:t>KEZESSÉGI ÁLTALÁNOS</w:t>
        </w:r>
        <w:r w:rsidRPr="001771E4">
          <w:rPr>
            <w:rFonts w:ascii="Arial" w:hAnsi="Arial" w:cs="Arial"/>
            <w:b/>
            <w:color w:val="000000" w:themeColor="text1"/>
            <w:sz w:val="24"/>
            <w:szCs w:val="24"/>
            <w:lang w:val="hu-HU"/>
          </w:rPr>
          <w:t xml:space="preserve"> SZERZŐDÉSI FELTÉTELEK </w:t>
        </w:r>
      </w:p>
      <w:p w14:paraId="722213B5" w14:textId="764B78EE" w:rsidR="002B3ECF" w:rsidRPr="001771E4" w:rsidRDefault="002B3ECF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</w:pP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Érvényes: 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202</w:t>
        </w:r>
        <w:r w:rsidR="006177B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5</w:t>
        </w:r>
        <w:r w:rsidR="00F86140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. </w:t>
        </w:r>
        <w:proofErr w:type="gramStart"/>
        <w:r w:rsidR="006177B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május </w:t>
        </w:r>
        <w:r w:rsidR="001010B2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 xml:space="preserve"> </w:t>
        </w:r>
        <w:r w:rsidR="00C35415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1</w:t>
        </w:r>
        <w:r w:rsidR="006177BA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5</w:t>
        </w:r>
        <w:proofErr w:type="gramEnd"/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-</w:t>
        </w:r>
        <w:r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t</w:t>
        </w:r>
        <w:r w:rsidR="00CB3129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ő</w:t>
        </w:r>
        <w:r w:rsidRPr="001771E4">
          <w:rPr>
            <w:rFonts w:ascii="Arial" w:hAnsi="Arial" w:cs="Arial"/>
            <w:b/>
            <w:color w:val="808080" w:themeColor="background1" w:themeShade="80"/>
            <w:sz w:val="18"/>
            <w:szCs w:val="18"/>
            <w:lang w:val="hu-HU"/>
          </w:rPr>
          <w:t>l a PartnerWeben benyújtott kérelmekre</w:t>
        </w:r>
      </w:p>
      <w:p w14:paraId="205B0C94" w14:textId="77777777" w:rsidR="002B3ECF" w:rsidRDefault="002F57D9" w:rsidP="00FB02EA">
        <w:pPr>
          <w:pStyle w:val="lfej"/>
          <w:tabs>
            <w:tab w:val="clear" w:pos="4320"/>
            <w:tab w:val="clear" w:pos="8640"/>
            <w:tab w:val="center" w:pos="4820"/>
            <w:tab w:val="right" w:pos="9639"/>
          </w:tabs>
          <w:spacing w:before="0" w:after="0"/>
          <w:ind w:left="0"/>
          <w:jc w:val="center"/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435C2" w14:textId="5CAAC502" w:rsidR="002B3ECF" w:rsidRDefault="000333E8" w:rsidP="005674E5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418EA20B" wp14:editId="2D207B3B">
          <wp:simplePos x="0" y="0"/>
          <wp:positionH relativeFrom="column">
            <wp:posOffset>-209550</wp:posOffset>
          </wp:positionH>
          <wp:positionV relativeFrom="paragraph">
            <wp:posOffset>56515</wp:posOffset>
          </wp:positionV>
          <wp:extent cx="1449705" cy="493395"/>
          <wp:effectExtent l="0" t="0" r="0" b="1905"/>
          <wp:wrapSquare wrapText="bothSides"/>
          <wp:docPr id="4" name="Kép 4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CE7622" w14:textId="77777777" w:rsidR="000333E8" w:rsidRDefault="002B3ECF" w:rsidP="000333E8">
    <w:pPr>
      <w:pStyle w:val="lfej"/>
      <w:jc w:val="right"/>
    </w:pPr>
    <w:r>
      <w:rPr>
        <w:rFonts w:ascii="Arial" w:hAnsi="Arial" w:cs="Arial"/>
        <w:b/>
        <w:sz w:val="24"/>
        <w:szCs w:val="24"/>
        <w:lang w:val="hu-HU"/>
      </w:rPr>
      <w:tab/>
    </w:r>
  </w:p>
  <w:p w14:paraId="60FDFBB0" w14:textId="19A9DDF4" w:rsidR="000333E8" w:rsidRPr="005674E5" w:rsidRDefault="000333E8" w:rsidP="005674E5">
    <w:pPr>
      <w:pStyle w:val="lfej"/>
      <w:jc w:val="right"/>
      <w:rPr>
        <w:rFonts w:ascii="Arial" w:hAnsi="Arial" w:cs="Arial"/>
        <w:sz w:val="18"/>
        <w:szCs w:val="18"/>
      </w:rPr>
    </w:pP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0AAD6855" w14:textId="77777777" w:rsidR="000333E8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rPr>
        <w:rFonts w:ascii="Arial" w:hAnsi="Arial" w:cs="Arial"/>
        <w:b/>
        <w:sz w:val="24"/>
        <w:szCs w:val="24"/>
        <w:lang w:val="hu-HU"/>
      </w:rPr>
    </w:pPr>
    <w:r>
      <w:rPr>
        <w:rFonts w:ascii="Times New Roman" w:hAnsi="Times New Roman"/>
      </w:rPr>
      <w:tab/>
    </w:r>
    <w:r w:rsidRPr="001771E4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1771E4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 </w:t>
    </w:r>
  </w:p>
  <w:p w14:paraId="39882CBE" w14:textId="1613949B" w:rsidR="000333E8" w:rsidRPr="001771E4" w:rsidRDefault="000333E8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177B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2025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6177B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május </w:t>
    </w:r>
    <w:r w:rsidR="00F86140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</w:t>
    </w:r>
    <w:r w:rsidR="006177B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5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tő</w:t>
    </w:r>
    <w:r w:rsidRPr="001771E4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kérelmekre</w:t>
    </w:r>
    <w:r w:rsidR="00C4026F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7DC83B79" w14:textId="707E852C" w:rsidR="002B3ECF" w:rsidRDefault="002B3ECF" w:rsidP="000333E8">
    <w:pPr>
      <w:pStyle w:val="lfej"/>
      <w:tabs>
        <w:tab w:val="clear" w:pos="4320"/>
        <w:tab w:val="clear" w:pos="8640"/>
        <w:tab w:val="center" w:pos="4820"/>
        <w:tab w:val="right" w:pos="9639"/>
      </w:tabs>
      <w:spacing w:before="0" w:after="0"/>
      <w:ind w:left="0" w:firstLine="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6D4B35"/>
    <w:multiLevelType w:val="hybridMultilevel"/>
    <w:tmpl w:val="CC2C58B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3" w15:restartNumberingAfterBreak="0">
    <w:nsid w:val="06687E98"/>
    <w:multiLevelType w:val="hybridMultilevel"/>
    <w:tmpl w:val="9878B120"/>
    <w:lvl w:ilvl="0" w:tplc="99D2AFD8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CF429F0"/>
    <w:multiLevelType w:val="hybridMultilevel"/>
    <w:tmpl w:val="15CED6B4"/>
    <w:lvl w:ilvl="0" w:tplc="38D46E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06575E"/>
    <w:multiLevelType w:val="multilevel"/>
    <w:tmpl w:val="944CA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7" w15:restartNumberingAfterBreak="0">
    <w:nsid w:val="0FEC7DD4"/>
    <w:multiLevelType w:val="hybridMultilevel"/>
    <w:tmpl w:val="8AFA3EEE"/>
    <w:lvl w:ilvl="0" w:tplc="ECA07F64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11F35C86"/>
    <w:multiLevelType w:val="hybridMultilevel"/>
    <w:tmpl w:val="D1624DE2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51A0C7D6">
      <w:start w:val="1"/>
      <w:numFmt w:val="decimal"/>
      <w:lvlText w:val="%4."/>
      <w:lvlJc w:val="left"/>
      <w:pPr>
        <w:ind w:left="4931" w:hanging="360"/>
      </w:pPr>
      <w:rPr>
        <w:b/>
      </w:r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9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11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237877A5"/>
    <w:multiLevelType w:val="multilevel"/>
    <w:tmpl w:val="BA20E5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2C2E2E00"/>
    <w:multiLevelType w:val="hybridMultilevel"/>
    <w:tmpl w:val="1F042784"/>
    <w:lvl w:ilvl="0" w:tplc="6D200572">
      <w:start w:val="9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  <w:sz w:val="16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1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22" w15:restartNumberingAfterBreak="0">
    <w:nsid w:val="35926762"/>
    <w:multiLevelType w:val="hybridMultilevel"/>
    <w:tmpl w:val="EFD669D8"/>
    <w:lvl w:ilvl="0" w:tplc="E6784CB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</w:r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116EBB"/>
    <w:multiLevelType w:val="hybridMultilevel"/>
    <w:tmpl w:val="7DB618FC"/>
    <w:lvl w:ilvl="0" w:tplc="89CE2C64">
      <w:numFmt w:val="bullet"/>
      <w:lvlText w:val=""/>
      <w:lvlJc w:val="left"/>
      <w:pPr>
        <w:ind w:left="164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DC496D"/>
    <w:multiLevelType w:val="hybridMultilevel"/>
    <w:tmpl w:val="4DDA28EC"/>
    <w:lvl w:ilvl="0" w:tplc="6B0E8D2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117228"/>
    <w:multiLevelType w:val="hybridMultilevel"/>
    <w:tmpl w:val="780A71D0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1755CFB"/>
    <w:multiLevelType w:val="hybridMultilevel"/>
    <w:tmpl w:val="C9A0B6AC"/>
    <w:lvl w:ilvl="0" w:tplc="2E70FCE6"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9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A93F25"/>
    <w:multiLevelType w:val="multilevel"/>
    <w:tmpl w:val="71F2D0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2" w15:restartNumberingAfterBreak="0">
    <w:nsid w:val="4ABB31AE"/>
    <w:multiLevelType w:val="hybridMultilevel"/>
    <w:tmpl w:val="78F83962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9F54DA50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2" w:tplc="E53600E0">
      <w:start w:val="4"/>
      <w:numFmt w:val="upperRoman"/>
      <w:lvlText w:val="%3."/>
      <w:lvlJc w:val="left"/>
      <w:pPr>
        <w:ind w:left="342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4" w15:restartNumberingAfterBreak="0">
    <w:nsid w:val="53DA22BE"/>
    <w:multiLevelType w:val="hybridMultilevel"/>
    <w:tmpl w:val="C1CA1CDC"/>
    <w:lvl w:ilvl="0" w:tplc="040E001B">
      <w:start w:val="1"/>
      <w:numFmt w:val="lowerRoman"/>
      <w:lvlText w:val="%1."/>
      <w:lvlJc w:val="righ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C6904A8"/>
    <w:multiLevelType w:val="hybridMultilevel"/>
    <w:tmpl w:val="A2C85C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DE8C33FE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9" w15:restartNumberingAfterBreak="0">
    <w:nsid w:val="613A3064"/>
    <w:multiLevelType w:val="hybridMultilevel"/>
    <w:tmpl w:val="352407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A150286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638118A4"/>
    <w:multiLevelType w:val="multilevel"/>
    <w:tmpl w:val="A63E02A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42F2E84"/>
    <w:multiLevelType w:val="multilevel"/>
    <w:tmpl w:val="37BA23A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4" w15:restartNumberingAfterBreak="0">
    <w:nsid w:val="68943A78"/>
    <w:multiLevelType w:val="hybridMultilevel"/>
    <w:tmpl w:val="CAFE11DC"/>
    <w:lvl w:ilvl="0" w:tplc="5982673C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6A3B3661"/>
    <w:multiLevelType w:val="hybridMultilevel"/>
    <w:tmpl w:val="B4D2793E"/>
    <w:lvl w:ilvl="0" w:tplc="04F81FD0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6C751829"/>
    <w:multiLevelType w:val="hybridMultilevel"/>
    <w:tmpl w:val="F182B7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7" w15:restartNumberingAfterBreak="0">
    <w:nsid w:val="6DB1726F"/>
    <w:multiLevelType w:val="hybridMultilevel"/>
    <w:tmpl w:val="A418DD28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81A800A">
      <w:start w:val="3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  <w:b/>
      </w:r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8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9" w15:restartNumberingAfterBreak="0">
    <w:nsid w:val="733E5B50"/>
    <w:multiLevelType w:val="multilevel"/>
    <w:tmpl w:val="DC229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540"/>
      </w:pPr>
      <w:rPr>
        <w:rFonts w:hint="default"/>
      </w:rPr>
    </w:lvl>
    <w:lvl w:ilvl="4">
      <w:start w:val="3"/>
      <w:numFmt w:val="upperRoman"/>
      <w:lvlText w:val="%5."/>
      <w:lvlJc w:val="left"/>
      <w:pPr>
        <w:ind w:left="3960" w:hanging="720"/>
      </w:pPr>
      <w:rPr>
        <w:rFonts w:hint="default"/>
        <w:b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53138F1"/>
    <w:multiLevelType w:val="hybridMultilevel"/>
    <w:tmpl w:val="953E00E0"/>
    <w:lvl w:ilvl="0" w:tplc="D8CA37A4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2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2887993">
    <w:abstractNumId w:val="38"/>
  </w:num>
  <w:num w:numId="2" w16cid:durableId="962542471">
    <w:abstractNumId w:val="50"/>
  </w:num>
  <w:num w:numId="3" w16cid:durableId="668561013">
    <w:abstractNumId w:val="29"/>
  </w:num>
  <w:num w:numId="4" w16cid:durableId="1492790475">
    <w:abstractNumId w:val="22"/>
  </w:num>
  <w:num w:numId="5" w16cid:durableId="2009286244">
    <w:abstractNumId w:val="1"/>
  </w:num>
  <w:num w:numId="6" w16cid:durableId="2000618145">
    <w:abstractNumId w:val="34"/>
  </w:num>
  <w:num w:numId="7" w16cid:durableId="1366907224">
    <w:abstractNumId w:val="32"/>
  </w:num>
  <w:num w:numId="8" w16cid:durableId="1563982903">
    <w:abstractNumId w:val="39"/>
  </w:num>
  <w:num w:numId="9" w16cid:durableId="464470825">
    <w:abstractNumId w:val="46"/>
  </w:num>
  <w:num w:numId="10" w16cid:durableId="484318265">
    <w:abstractNumId w:val="31"/>
  </w:num>
  <w:num w:numId="11" w16cid:durableId="2145464576">
    <w:abstractNumId w:val="25"/>
  </w:num>
  <w:num w:numId="12" w16cid:durableId="1101418054">
    <w:abstractNumId w:val="20"/>
  </w:num>
  <w:num w:numId="13" w16cid:durableId="783233994">
    <w:abstractNumId w:val="5"/>
  </w:num>
  <w:num w:numId="14" w16cid:durableId="536547801">
    <w:abstractNumId w:val="17"/>
  </w:num>
  <w:num w:numId="15" w16cid:durableId="1696342682">
    <w:abstractNumId w:val="8"/>
  </w:num>
  <w:num w:numId="16" w16cid:durableId="1774204852">
    <w:abstractNumId w:val="42"/>
  </w:num>
  <w:num w:numId="17" w16cid:durableId="1785077981">
    <w:abstractNumId w:val="21"/>
  </w:num>
  <w:num w:numId="18" w16cid:durableId="160852381">
    <w:abstractNumId w:val="13"/>
  </w:num>
  <w:num w:numId="19" w16cid:durableId="1336226596">
    <w:abstractNumId w:val="3"/>
  </w:num>
  <w:num w:numId="20" w16cid:durableId="557016878">
    <w:abstractNumId w:val="2"/>
  </w:num>
  <w:num w:numId="21" w16cid:durableId="1796556462">
    <w:abstractNumId w:val="43"/>
  </w:num>
  <w:num w:numId="22" w16cid:durableId="931350841">
    <w:abstractNumId w:val="18"/>
  </w:num>
  <w:num w:numId="23" w16cid:durableId="1960646079">
    <w:abstractNumId w:val="11"/>
  </w:num>
  <w:num w:numId="24" w16cid:durableId="345794766">
    <w:abstractNumId w:val="0"/>
  </w:num>
  <w:num w:numId="25" w16cid:durableId="654995922">
    <w:abstractNumId w:val="49"/>
  </w:num>
  <w:num w:numId="26" w16cid:durableId="1347633864">
    <w:abstractNumId w:val="6"/>
  </w:num>
  <w:num w:numId="27" w16cid:durableId="1760982899">
    <w:abstractNumId w:val="26"/>
  </w:num>
  <w:num w:numId="28" w16cid:durableId="875969269">
    <w:abstractNumId w:val="47"/>
  </w:num>
  <w:num w:numId="29" w16cid:durableId="503785970">
    <w:abstractNumId w:val="9"/>
  </w:num>
  <w:num w:numId="30" w16cid:durableId="1196694912">
    <w:abstractNumId w:val="35"/>
  </w:num>
  <w:num w:numId="31" w16cid:durableId="799882373">
    <w:abstractNumId w:val="7"/>
  </w:num>
  <w:num w:numId="32" w16cid:durableId="1379010889">
    <w:abstractNumId w:val="44"/>
  </w:num>
  <w:num w:numId="33" w16cid:durableId="1747534025">
    <w:abstractNumId w:val="45"/>
  </w:num>
  <w:num w:numId="34" w16cid:durableId="1138571384">
    <w:abstractNumId w:val="23"/>
  </w:num>
  <w:num w:numId="35" w16cid:durableId="403992883">
    <w:abstractNumId w:val="4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26834408">
    <w:abstractNumId w:val="51"/>
  </w:num>
  <w:num w:numId="37" w16cid:durableId="454100677">
    <w:abstractNumId w:val="10"/>
  </w:num>
  <w:num w:numId="38" w16cid:durableId="1451585763">
    <w:abstractNumId w:val="14"/>
  </w:num>
  <w:num w:numId="39" w16cid:durableId="866141492">
    <w:abstractNumId w:val="36"/>
  </w:num>
  <w:num w:numId="40" w16cid:durableId="1156452124">
    <w:abstractNumId w:val="52"/>
  </w:num>
  <w:num w:numId="41" w16cid:durableId="1599481659">
    <w:abstractNumId w:val="27"/>
  </w:num>
  <w:num w:numId="42" w16cid:durableId="163204467">
    <w:abstractNumId w:val="37"/>
  </w:num>
  <w:num w:numId="43" w16cid:durableId="345644472">
    <w:abstractNumId w:val="48"/>
  </w:num>
  <w:num w:numId="44" w16cid:durableId="1536574590">
    <w:abstractNumId w:val="12"/>
  </w:num>
  <w:num w:numId="45" w16cid:durableId="197931039">
    <w:abstractNumId w:val="15"/>
  </w:num>
  <w:num w:numId="46" w16cid:durableId="1471558966">
    <w:abstractNumId w:val="33"/>
  </w:num>
  <w:num w:numId="47" w16cid:durableId="1999652307">
    <w:abstractNumId w:val="4"/>
  </w:num>
  <w:num w:numId="48" w16cid:durableId="2128887135">
    <w:abstractNumId w:val="16"/>
  </w:num>
  <w:num w:numId="49" w16cid:durableId="1987465805">
    <w:abstractNumId w:val="40"/>
  </w:num>
  <w:num w:numId="50" w16cid:durableId="893001594">
    <w:abstractNumId w:val="24"/>
  </w:num>
  <w:num w:numId="51" w16cid:durableId="928661633">
    <w:abstractNumId w:val="30"/>
  </w:num>
  <w:num w:numId="52" w16cid:durableId="2052680842">
    <w:abstractNumId w:val="19"/>
  </w:num>
  <w:num w:numId="53" w16cid:durableId="792015511">
    <w:abstractNumId w:val="2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72niagcW/N+ZVCLK0H/zW4+TlUcUsbbZJ3Z7hgCYndvzwUpGP5q9lqTNFqiksHLCgnXRs9Rgft9w/B3HW4W+NQ==" w:salt="S43ebwYVr3B00yomogV/s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29F"/>
    <w:rsid w:val="0000022A"/>
    <w:rsid w:val="000028B2"/>
    <w:rsid w:val="000045F4"/>
    <w:rsid w:val="00004FB2"/>
    <w:rsid w:val="00006539"/>
    <w:rsid w:val="00006FB1"/>
    <w:rsid w:val="0001272F"/>
    <w:rsid w:val="000165C0"/>
    <w:rsid w:val="00016A3F"/>
    <w:rsid w:val="00024CB3"/>
    <w:rsid w:val="00025D2D"/>
    <w:rsid w:val="000333E8"/>
    <w:rsid w:val="00033669"/>
    <w:rsid w:val="0004008D"/>
    <w:rsid w:val="00044FE4"/>
    <w:rsid w:val="00045A64"/>
    <w:rsid w:val="000527C0"/>
    <w:rsid w:val="000528FE"/>
    <w:rsid w:val="00060161"/>
    <w:rsid w:val="0006130A"/>
    <w:rsid w:val="00063353"/>
    <w:rsid w:val="00063849"/>
    <w:rsid w:val="00063FFE"/>
    <w:rsid w:val="00065A73"/>
    <w:rsid w:val="00066B99"/>
    <w:rsid w:val="00074BF7"/>
    <w:rsid w:val="00074ECE"/>
    <w:rsid w:val="00075009"/>
    <w:rsid w:val="00084BCD"/>
    <w:rsid w:val="000858B4"/>
    <w:rsid w:val="00087499"/>
    <w:rsid w:val="0009099E"/>
    <w:rsid w:val="0009610E"/>
    <w:rsid w:val="000964B0"/>
    <w:rsid w:val="000966FD"/>
    <w:rsid w:val="000A0E0F"/>
    <w:rsid w:val="000A1F77"/>
    <w:rsid w:val="000A41A6"/>
    <w:rsid w:val="000A5F0B"/>
    <w:rsid w:val="000B0AA8"/>
    <w:rsid w:val="000B5F02"/>
    <w:rsid w:val="000B62C7"/>
    <w:rsid w:val="000B69AD"/>
    <w:rsid w:val="000B7201"/>
    <w:rsid w:val="000C08F9"/>
    <w:rsid w:val="000C46DB"/>
    <w:rsid w:val="000D128D"/>
    <w:rsid w:val="000D1D17"/>
    <w:rsid w:val="000D2BCE"/>
    <w:rsid w:val="000D3339"/>
    <w:rsid w:val="000D4059"/>
    <w:rsid w:val="000D411D"/>
    <w:rsid w:val="000D6779"/>
    <w:rsid w:val="000D7FD2"/>
    <w:rsid w:val="000E086E"/>
    <w:rsid w:val="000E1DC6"/>
    <w:rsid w:val="000E365B"/>
    <w:rsid w:val="000E4952"/>
    <w:rsid w:val="000F7A9D"/>
    <w:rsid w:val="000F7C01"/>
    <w:rsid w:val="001010B2"/>
    <w:rsid w:val="00102C9C"/>
    <w:rsid w:val="001052F9"/>
    <w:rsid w:val="001070C9"/>
    <w:rsid w:val="0011198A"/>
    <w:rsid w:val="00113338"/>
    <w:rsid w:val="00121397"/>
    <w:rsid w:val="00121887"/>
    <w:rsid w:val="00124B7B"/>
    <w:rsid w:val="00125543"/>
    <w:rsid w:val="00130939"/>
    <w:rsid w:val="00130CC7"/>
    <w:rsid w:val="001315DA"/>
    <w:rsid w:val="00131E4F"/>
    <w:rsid w:val="001358CD"/>
    <w:rsid w:val="001403A9"/>
    <w:rsid w:val="00145E38"/>
    <w:rsid w:val="001469C9"/>
    <w:rsid w:val="00147514"/>
    <w:rsid w:val="00150CE4"/>
    <w:rsid w:val="00150E53"/>
    <w:rsid w:val="0015101C"/>
    <w:rsid w:val="00154C87"/>
    <w:rsid w:val="00157442"/>
    <w:rsid w:val="0016785A"/>
    <w:rsid w:val="00174176"/>
    <w:rsid w:val="0017573A"/>
    <w:rsid w:val="00175C55"/>
    <w:rsid w:val="001771E4"/>
    <w:rsid w:val="0017767D"/>
    <w:rsid w:val="00182534"/>
    <w:rsid w:val="00182CB5"/>
    <w:rsid w:val="00183879"/>
    <w:rsid w:val="00184EBE"/>
    <w:rsid w:val="0018518F"/>
    <w:rsid w:val="00185A71"/>
    <w:rsid w:val="00190663"/>
    <w:rsid w:val="001908DA"/>
    <w:rsid w:val="00191EA9"/>
    <w:rsid w:val="00192A90"/>
    <w:rsid w:val="00193641"/>
    <w:rsid w:val="001A0F30"/>
    <w:rsid w:val="001A26E0"/>
    <w:rsid w:val="001A2AF1"/>
    <w:rsid w:val="001A3F18"/>
    <w:rsid w:val="001A7125"/>
    <w:rsid w:val="001B125C"/>
    <w:rsid w:val="001B134E"/>
    <w:rsid w:val="001B2CAF"/>
    <w:rsid w:val="001B77CF"/>
    <w:rsid w:val="001C04A9"/>
    <w:rsid w:val="001C0A9C"/>
    <w:rsid w:val="001C0BF7"/>
    <w:rsid w:val="001C4F35"/>
    <w:rsid w:val="001C79F8"/>
    <w:rsid w:val="001D056D"/>
    <w:rsid w:val="001D184F"/>
    <w:rsid w:val="001D5F5E"/>
    <w:rsid w:val="001E06D7"/>
    <w:rsid w:val="001E5733"/>
    <w:rsid w:val="001E7652"/>
    <w:rsid w:val="001E766F"/>
    <w:rsid w:val="001F05F9"/>
    <w:rsid w:val="001F1BE1"/>
    <w:rsid w:val="001F268B"/>
    <w:rsid w:val="001F3666"/>
    <w:rsid w:val="001F450B"/>
    <w:rsid w:val="001F7B77"/>
    <w:rsid w:val="002026BB"/>
    <w:rsid w:val="00204AEB"/>
    <w:rsid w:val="00206F1E"/>
    <w:rsid w:val="00210CC1"/>
    <w:rsid w:val="002113A2"/>
    <w:rsid w:val="00212416"/>
    <w:rsid w:val="00215164"/>
    <w:rsid w:val="0021754F"/>
    <w:rsid w:val="0022303C"/>
    <w:rsid w:val="00225B9D"/>
    <w:rsid w:val="0022712A"/>
    <w:rsid w:val="00232696"/>
    <w:rsid w:val="00237418"/>
    <w:rsid w:val="002420DE"/>
    <w:rsid w:val="00252029"/>
    <w:rsid w:val="002524A6"/>
    <w:rsid w:val="00253063"/>
    <w:rsid w:val="00257F63"/>
    <w:rsid w:val="00257F85"/>
    <w:rsid w:val="0026059F"/>
    <w:rsid w:val="00262CB7"/>
    <w:rsid w:val="00262ECF"/>
    <w:rsid w:val="00263264"/>
    <w:rsid w:val="00263A12"/>
    <w:rsid w:val="0026529F"/>
    <w:rsid w:val="00266A4F"/>
    <w:rsid w:val="002815AF"/>
    <w:rsid w:val="00286F0D"/>
    <w:rsid w:val="002872CF"/>
    <w:rsid w:val="00290891"/>
    <w:rsid w:val="00291915"/>
    <w:rsid w:val="00294C68"/>
    <w:rsid w:val="00295820"/>
    <w:rsid w:val="00295920"/>
    <w:rsid w:val="00295DA7"/>
    <w:rsid w:val="002967CF"/>
    <w:rsid w:val="002A19BE"/>
    <w:rsid w:val="002A2F3B"/>
    <w:rsid w:val="002A5B2D"/>
    <w:rsid w:val="002B276C"/>
    <w:rsid w:val="002B32D8"/>
    <w:rsid w:val="002B3375"/>
    <w:rsid w:val="002B3ECF"/>
    <w:rsid w:val="002B6255"/>
    <w:rsid w:val="002C1846"/>
    <w:rsid w:val="002C6173"/>
    <w:rsid w:val="002C707D"/>
    <w:rsid w:val="002D69FE"/>
    <w:rsid w:val="002D6F67"/>
    <w:rsid w:val="002D7F31"/>
    <w:rsid w:val="002E0F54"/>
    <w:rsid w:val="002E4259"/>
    <w:rsid w:val="002E5EBD"/>
    <w:rsid w:val="002E6990"/>
    <w:rsid w:val="002F0BD0"/>
    <w:rsid w:val="002F2E10"/>
    <w:rsid w:val="002F30EC"/>
    <w:rsid w:val="002F57D9"/>
    <w:rsid w:val="002F6311"/>
    <w:rsid w:val="00300FE9"/>
    <w:rsid w:val="00305D71"/>
    <w:rsid w:val="00306CAA"/>
    <w:rsid w:val="003104D9"/>
    <w:rsid w:val="003104F2"/>
    <w:rsid w:val="00311FF7"/>
    <w:rsid w:val="003126F0"/>
    <w:rsid w:val="003134DF"/>
    <w:rsid w:val="00320B33"/>
    <w:rsid w:val="003210FD"/>
    <w:rsid w:val="00321E6B"/>
    <w:rsid w:val="003241E2"/>
    <w:rsid w:val="003259D2"/>
    <w:rsid w:val="00326941"/>
    <w:rsid w:val="003279CB"/>
    <w:rsid w:val="003320F8"/>
    <w:rsid w:val="00332E9C"/>
    <w:rsid w:val="003344FD"/>
    <w:rsid w:val="00337651"/>
    <w:rsid w:val="00341431"/>
    <w:rsid w:val="00342E11"/>
    <w:rsid w:val="00350512"/>
    <w:rsid w:val="00351E11"/>
    <w:rsid w:val="00353878"/>
    <w:rsid w:val="003552A0"/>
    <w:rsid w:val="003557A9"/>
    <w:rsid w:val="00355F03"/>
    <w:rsid w:val="00356BAF"/>
    <w:rsid w:val="00361FB3"/>
    <w:rsid w:val="00362C8D"/>
    <w:rsid w:val="00364A9E"/>
    <w:rsid w:val="00364E6E"/>
    <w:rsid w:val="00367AC1"/>
    <w:rsid w:val="00367F33"/>
    <w:rsid w:val="003771C7"/>
    <w:rsid w:val="00377A3E"/>
    <w:rsid w:val="003810A7"/>
    <w:rsid w:val="00385490"/>
    <w:rsid w:val="0039085F"/>
    <w:rsid w:val="003915E8"/>
    <w:rsid w:val="003918B3"/>
    <w:rsid w:val="0039480B"/>
    <w:rsid w:val="003A17F8"/>
    <w:rsid w:val="003A1C3F"/>
    <w:rsid w:val="003A2696"/>
    <w:rsid w:val="003A5124"/>
    <w:rsid w:val="003A7020"/>
    <w:rsid w:val="003A702A"/>
    <w:rsid w:val="003A721E"/>
    <w:rsid w:val="003B1B9E"/>
    <w:rsid w:val="003B2BDE"/>
    <w:rsid w:val="003B3EFE"/>
    <w:rsid w:val="003B423B"/>
    <w:rsid w:val="003B5C2F"/>
    <w:rsid w:val="003B68CF"/>
    <w:rsid w:val="003B6BFE"/>
    <w:rsid w:val="003C08A2"/>
    <w:rsid w:val="003C46A2"/>
    <w:rsid w:val="003C5386"/>
    <w:rsid w:val="003C6645"/>
    <w:rsid w:val="003D106C"/>
    <w:rsid w:val="003D37D2"/>
    <w:rsid w:val="003D43DD"/>
    <w:rsid w:val="003D4CAC"/>
    <w:rsid w:val="003D559B"/>
    <w:rsid w:val="003D5699"/>
    <w:rsid w:val="003D65C7"/>
    <w:rsid w:val="003D7085"/>
    <w:rsid w:val="003E03C3"/>
    <w:rsid w:val="003E50F3"/>
    <w:rsid w:val="003E5C38"/>
    <w:rsid w:val="003E6C65"/>
    <w:rsid w:val="003F0DFC"/>
    <w:rsid w:val="003F11C1"/>
    <w:rsid w:val="003F27FC"/>
    <w:rsid w:val="003F2C73"/>
    <w:rsid w:val="003F4FDC"/>
    <w:rsid w:val="003F720D"/>
    <w:rsid w:val="00402AD1"/>
    <w:rsid w:val="004036FF"/>
    <w:rsid w:val="004043E6"/>
    <w:rsid w:val="004058A4"/>
    <w:rsid w:val="00407139"/>
    <w:rsid w:val="004127CA"/>
    <w:rsid w:val="0041516E"/>
    <w:rsid w:val="00415187"/>
    <w:rsid w:val="00417482"/>
    <w:rsid w:val="004244F8"/>
    <w:rsid w:val="00426B3B"/>
    <w:rsid w:val="004272D5"/>
    <w:rsid w:val="004311D9"/>
    <w:rsid w:val="00432531"/>
    <w:rsid w:val="00432BA1"/>
    <w:rsid w:val="00434307"/>
    <w:rsid w:val="00435C52"/>
    <w:rsid w:val="004409C1"/>
    <w:rsid w:val="00442E0A"/>
    <w:rsid w:val="004430F7"/>
    <w:rsid w:val="004467DB"/>
    <w:rsid w:val="00450121"/>
    <w:rsid w:val="00452542"/>
    <w:rsid w:val="00452999"/>
    <w:rsid w:val="00453099"/>
    <w:rsid w:val="004542A2"/>
    <w:rsid w:val="00454D44"/>
    <w:rsid w:val="00457E28"/>
    <w:rsid w:val="00460D52"/>
    <w:rsid w:val="00460F2C"/>
    <w:rsid w:val="00462229"/>
    <w:rsid w:val="00462C5D"/>
    <w:rsid w:val="004711AE"/>
    <w:rsid w:val="00471907"/>
    <w:rsid w:val="00473EF2"/>
    <w:rsid w:val="00473FFB"/>
    <w:rsid w:val="004752D6"/>
    <w:rsid w:val="0047558C"/>
    <w:rsid w:val="00483589"/>
    <w:rsid w:val="0048470E"/>
    <w:rsid w:val="004871CD"/>
    <w:rsid w:val="00491804"/>
    <w:rsid w:val="00492610"/>
    <w:rsid w:val="0049427C"/>
    <w:rsid w:val="00496765"/>
    <w:rsid w:val="004A6D5E"/>
    <w:rsid w:val="004A7BF0"/>
    <w:rsid w:val="004B3375"/>
    <w:rsid w:val="004B4177"/>
    <w:rsid w:val="004B63F5"/>
    <w:rsid w:val="004B6716"/>
    <w:rsid w:val="004B6C5D"/>
    <w:rsid w:val="004C33C5"/>
    <w:rsid w:val="004C7EFE"/>
    <w:rsid w:val="004D02C0"/>
    <w:rsid w:val="004D2C0E"/>
    <w:rsid w:val="004D3D56"/>
    <w:rsid w:val="004D50E5"/>
    <w:rsid w:val="004D66F3"/>
    <w:rsid w:val="004D7FC1"/>
    <w:rsid w:val="004E0EF9"/>
    <w:rsid w:val="004F3799"/>
    <w:rsid w:val="004F54BB"/>
    <w:rsid w:val="004F72D4"/>
    <w:rsid w:val="005018C4"/>
    <w:rsid w:val="00505A51"/>
    <w:rsid w:val="0050661F"/>
    <w:rsid w:val="005127AB"/>
    <w:rsid w:val="00514297"/>
    <w:rsid w:val="0052220A"/>
    <w:rsid w:val="00523B9B"/>
    <w:rsid w:val="00525709"/>
    <w:rsid w:val="00530381"/>
    <w:rsid w:val="00531807"/>
    <w:rsid w:val="00532651"/>
    <w:rsid w:val="00532764"/>
    <w:rsid w:val="0053311D"/>
    <w:rsid w:val="005335C1"/>
    <w:rsid w:val="00537E27"/>
    <w:rsid w:val="00544E76"/>
    <w:rsid w:val="00545172"/>
    <w:rsid w:val="005507B4"/>
    <w:rsid w:val="00550EE8"/>
    <w:rsid w:val="005530C7"/>
    <w:rsid w:val="00556E2F"/>
    <w:rsid w:val="00561CEB"/>
    <w:rsid w:val="0056227E"/>
    <w:rsid w:val="00562449"/>
    <w:rsid w:val="00564FF7"/>
    <w:rsid w:val="00565970"/>
    <w:rsid w:val="005674E5"/>
    <w:rsid w:val="00567F42"/>
    <w:rsid w:val="005702C4"/>
    <w:rsid w:val="005711A9"/>
    <w:rsid w:val="005738C9"/>
    <w:rsid w:val="00577028"/>
    <w:rsid w:val="005806A0"/>
    <w:rsid w:val="00580FE2"/>
    <w:rsid w:val="00582849"/>
    <w:rsid w:val="00583024"/>
    <w:rsid w:val="00586931"/>
    <w:rsid w:val="00586EFC"/>
    <w:rsid w:val="00590EE9"/>
    <w:rsid w:val="0059152E"/>
    <w:rsid w:val="00592D4F"/>
    <w:rsid w:val="00595959"/>
    <w:rsid w:val="00595F35"/>
    <w:rsid w:val="005A1C53"/>
    <w:rsid w:val="005A2510"/>
    <w:rsid w:val="005A34BC"/>
    <w:rsid w:val="005A3BE2"/>
    <w:rsid w:val="005B0A08"/>
    <w:rsid w:val="005B1F3C"/>
    <w:rsid w:val="005C2A52"/>
    <w:rsid w:val="005C3902"/>
    <w:rsid w:val="005C667F"/>
    <w:rsid w:val="005C7FBE"/>
    <w:rsid w:val="005D045D"/>
    <w:rsid w:val="005D063D"/>
    <w:rsid w:val="005D0917"/>
    <w:rsid w:val="005D102A"/>
    <w:rsid w:val="005D108D"/>
    <w:rsid w:val="005D1B8B"/>
    <w:rsid w:val="005D66CA"/>
    <w:rsid w:val="005D6C70"/>
    <w:rsid w:val="005D7241"/>
    <w:rsid w:val="005D7AE4"/>
    <w:rsid w:val="005E1006"/>
    <w:rsid w:val="005F08CB"/>
    <w:rsid w:val="005F37D8"/>
    <w:rsid w:val="005F5E09"/>
    <w:rsid w:val="005F6511"/>
    <w:rsid w:val="005F7368"/>
    <w:rsid w:val="0060204C"/>
    <w:rsid w:val="00605E89"/>
    <w:rsid w:val="00606032"/>
    <w:rsid w:val="0060747C"/>
    <w:rsid w:val="006177BA"/>
    <w:rsid w:val="00617BEF"/>
    <w:rsid w:val="00622690"/>
    <w:rsid w:val="00624351"/>
    <w:rsid w:val="006259E4"/>
    <w:rsid w:val="0063669D"/>
    <w:rsid w:val="00636E45"/>
    <w:rsid w:val="00640DE4"/>
    <w:rsid w:val="00643B78"/>
    <w:rsid w:val="00647AB5"/>
    <w:rsid w:val="00650C10"/>
    <w:rsid w:val="0065170B"/>
    <w:rsid w:val="006526FD"/>
    <w:rsid w:val="00653978"/>
    <w:rsid w:val="00653A5D"/>
    <w:rsid w:val="00654428"/>
    <w:rsid w:val="006577B5"/>
    <w:rsid w:val="00657F61"/>
    <w:rsid w:val="00660A5B"/>
    <w:rsid w:val="00661EFE"/>
    <w:rsid w:val="00663543"/>
    <w:rsid w:val="006646A5"/>
    <w:rsid w:val="006649D3"/>
    <w:rsid w:val="00666C8C"/>
    <w:rsid w:val="0066726E"/>
    <w:rsid w:val="0067183C"/>
    <w:rsid w:val="00671C1E"/>
    <w:rsid w:val="006727E0"/>
    <w:rsid w:val="00673566"/>
    <w:rsid w:val="006739A5"/>
    <w:rsid w:val="00673F1C"/>
    <w:rsid w:val="0067657F"/>
    <w:rsid w:val="006775BD"/>
    <w:rsid w:val="006827C8"/>
    <w:rsid w:val="0068436B"/>
    <w:rsid w:val="00685C74"/>
    <w:rsid w:val="0069021F"/>
    <w:rsid w:val="00690A93"/>
    <w:rsid w:val="00693027"/>
    <w:rsid w:val="00694232"/>
    <w:rsid w:val="00695D8B"/>
    <w:rsid w:val="006A1E7B"/>
    <w:rsid w:val="006A3EE7"/>
    <w:rsid w:val="006A58FB"/>
    <w:rsid w:val="006A5997"/>
    <w:rsid w:val="006A6293"/>
    <w:rsid w:val="006A6E63"/>
    <w:rsid w:val="006A72AA"/>
    <w:rsid w:val="006B0E03"/>
    <w:rsid w:val="006B10F7"/>
    <w:rsid w:val="006B5190"/>
    <w:rsid w:val="006B5585"/>
    <w:rsid w:val="006C1837"/>
    <w:rsid w:val="006C31D0"/>
    <w:rsid w:val="006D3C41"/>
    <w:rsid w:val="006D5B62"/>
    <w:rsid w:val="006D5FD6"/>
    <w:rsid w:val="006E2A86"/>
    <w:rsid w:val="006E372B"/>
    <w:rsid w:val="006E4E1D"/>
    <w:rsid w:val="006E5121"/>
    <w:rsid w:val="006F5E95"/>
    <w:rsid w:val="006F6F99"/>
    <w:rsid w:val="00700CE9"/>
    <w:rsid w:val="00703819"/>
    <w:rsid w:val="00704849"/>
    <w:rsid w:val="007048E4"/>
    <w:rsid w:val="00707F96"/>
    <w:rsid w:val="0071005B"/>
    <w:rsid w:val="00713317"/>
    <w:rsid w:val="00714362"/>
    <w:rsid w:val="00731CA2"/>
    <w:rsid w:val="00736D7A"/>
    <w:rsid w:val="007370B2"/>
    <w:rsid w:val="00737EDB"/>
    <w:rsid w:val="00740ACF"/>
    <w:rsid w:val="00741032"/>
    <w:rsid w:val="00741398"/>
    <w:rsid w:val="00746CCB"/>
    <w:rsid w:val="0075005D"/>
    <w:rsid w:val="00753AB3"/>
    <w:rsid w:val="007627AD"/>
    <w:rsid w:val="007634AF"/>
    <w:rsid w:val="00763C07"/>
    <w:rsid w:val="007668A3"/>
    <w:rsid w:val="00774694"/>
    <w:rsid w:val="00775FF1"/>
    <w:rsid w:val="0078256A"/>
    <w:rsid w:val="007841B7"/>
    <w:rsid w:val="00787D72"/>
    <w:rsid w:val="0079006C"/>
    <w:rsid w:val="0079022A"/>
    <w:rsid w:val="00795B53"/>
    <w:rsid w:val="0079783E"/>
    <w:rsid w:val="007A285F"/>
    <w:rsid w:val="007A3A38"/>
    <w:rsid w:val="007A5C90"/>
    <w:rsid w:val="007B13C1"/>
    <w:rsid w:val="007B3686"/>
    <w:rsid w:val="007B3E1D"/>
    <w:rsid w:val="007B7835"/>
    <w:rsid w:val="007C0B78"/>
    <w:rsid w:val="007C109B"/>
    <w:rsid w:val="007C3BB1"/>
    <w:rsid w:val="007C50AF"/>
    <w:rsid w:val="007C5943"/>
    <w:rsid w:val="007C6CA0"/>
    <w:rsid w:val="007D0633"/>
    <w:rsid w:val="007D20F1"/>
    <w:rsid w:val="007D2794"/>
    <w:rsid w:val="007D5043"/>
    <w:rsid w:val="007D5F6A"/>
    <w:rsid w:val="007D6ADB"/>
    <w:rsid w:val="007E092C"/>
    <w:rsid w:val="007E1BD8"/>
    <w:rsid w:val="007E1F9B"/>
    <w:rsid w:val="007E4889"/>
    <w:rsid w:val="007E4CD0"/>
    <w:rsid w:val="007E6744"/>
    <w:rsid w:val="007E7A37"/>
    <w:rsid w:val="007E7DFF"/>
    <w:rsid w:val="007F2DE5"/>
    <w:rsid w:val="007F5B2A"/>
    <w:rsid w:val="007F5E69"/>
    <w:rsid w:val="007F7E3D"/>
    <w:rsid w:val="008020E5"/>
    <w:rsid w:val="008025D8"/>
    <w:rsid w:val="00813D6D"/>
    <w:rsid w:val="00813D7A"/>
    <w:rsid w:val="00814B08"/>
    <w:rsid w:val="008168CB"/>
    <w:rsid w:val="008176D1"/>
    <w:rsid w:val="00821150"/>
    <w:rsid w:val="0082224E"/>
    <w:rsid w:val="00822315"/>
    <w:rsid w:val="0082245E"/>
    <w:rsid w:val="00822DE5"/>
    <w:rsid w:val="00825900"/>
    <w:rsid w:val="00827783"/>
    <w:rsid w:val="0083372E"/>
    <w:rsid w:val="00833A32"/>
    <w:rsid w:val="0083617A"/>
    <w:rsid w:val="00842EDB"/>
    <w:rsid w:val="00846BE9"/>
    <w:rsid w:val="0085229C"/>
    <w:rsid w:val="0085478F"/>
    <w:rsid w:val="00856056"/>
    <w:rsid w:val="00856FC8"/>
    <w:rsid w:val="0085758B"/>
    <w:rsid w:val="00857F05"/>
    <w:rsid w:val="00861B79"/>
    <w:rsid w:val="00866B4C"/>
    <w:rsid w:val="00873F0B"/>
    <w:rsid w:val="008740CC"/>
    <w:rsid w:val="00874695"/>
    <w:rsid w:val="0087628A"/>
    <w:rsid w:val="00877AB6"/>
    <w:rsid w:val="008802A8"/>
    <w:rsid w:val="00881F72"/>
    <w:rsid w:val="00885880"/>
    <w:rsid w:val="0089094C"/>
    <w:rsid w:val="00892450"/>
    <w:rsid w:val="008A1DAD"/>
    <w:rsid w:val="008A2020"/>
    <w:rsid w:val="008B0D65"/>
    <w:rsid w:val="008B1F3E"/>
    <w:rsid w:val="008B267B"/>
    <w:rsid w:val="008B618E"/>
    <w:rsid w:val="008B76BF"/>
    <w:rsid w:val="008C0D63"/>
    <w:rsid w:val="008C2207"/>
    <w:rsid w:val="008C41A9"/>
    <w:rsid w:val="008C5620"/>
    <w:rsid w:val="008D5FEB"/>
    <w:rsid w:val="008D693A"/>
    <w:rsid w:val="008E0957"/>
    <w:rsid w:val="008E4FAB"/>
    <w:rsid w:val="008E5BC0"/>
    <w:rsid w:val="008E688A"/>
    <w:rsid w:val="008F1AB6"/>
    <w:rsid w:val="008F226D"/>
    <w:rsid w:val="008F3747"/>
    <w:rsid w:val="008F54FE"/>
    <w:rsid w:val="009007A5"/>
    <w:rsid w:val="00902029"/>
    <w:rsid w:val="009054E1"/>
    <w:rsid w:val="00905526"/>
    <w:rsid w:val="0091022A"/>
    <w:rsid w:val="00911EDB"/>
    <w:rsid w:val="00911FA3"/>
    <w:rsid w:val="00912985"/>
    <w:rsid w:val="00913E95"/>
    <w:rsid w:val="00914503"/>
    <w:rsid w:val="00922488"/>
    <w:rsid w:val="00922D5A"/>
    <w:rsid w:val="00923124"/>
    <w:rsid w:val="0092676E"/>
    <w:rsid w:val="00926D48"/>
    <w:rsid w:val="00931E2A"/>
    <w:rsid w:val="009350F9"/>
    <w:rsid w:val="009359BA"/>
    <w:rsid w:val="009428BA"/>
    <w:rsid w:val="009438C5"/>
    <w:rsid w:val="0094560E"/>
    <w:rsid w:val="00952651"/>
    <w:rsid w:val="00952880"/>
    <w:rsid w:val="00963311"/>
    <w:rsid w:val="0096424C"/>
    <w:rsid w:val="009655F1"/>
    <w:rsid w:val="00965E9A"/>
    <w:rsid w:val="00970979"/>
    <w:rsid w:val="00970BC6"/>
    <w:rsid w:val="00971C44"/>
    <w:rsid w:val="009748E2"/>
    <w:rsid w:val="009755E2"/>
    <w:rsid w:val="00976D59"/>
    <w:rsid w:val="00977CD8"/>
    <w:rsid w:val="00980055"/>
    <w:rsid w:val="00980C95"/>
    <w:rsid w:val="0098112F"/>
    <w:rsid w:val="00984F87"/>
    <w:rsid w:val="00986B08"/>
    <w:rsid w:val="009875E9"/>
    <w:rsid w:val="00993CF5"/>
    <w:rsid w:val="009A30ED"/>
    <w:rsid w:val="009A49A3"/>
    <w:rsid w:val="009B0DF7"/>
    <w:rsid w:val="009B14B5"/>
    <w:rsid w:val="009B595F"/>
    <w:rsid w:val="009C1A01"/>
    <w:rsid w:val="009C6A00"/>
    <w:rsid w:val="009C7202"/>
    <w:rsid w:val="009D521E"/>
    <w:rsid w:val="009D6727"/>
    <w:rsid w:val="009E411F"/>
    <w:rsid w:val="009E50F8"/>
    <w:rsid w:val="009E6177"/>
    <w:rsid w:val="009E6B60"/>
    <w:rsid w:val="009F0B71"/>
    <w:rsid w:val="009F0EA4"/>
    <w:rsid w:val="009F1A60"/>
    <w:rsid w:val="009F244F"/>
    <w:rsid w:val="009F46AB"/>
    <w:rsid w:val="009F6864"/>
    <w:rsid w:val="00A218B7"/>
    <w:rsid w:val="00A22F7A"/>
    <w:rsid w:val="00A23409"/>
    <w:rsid w:val="00A239B8"/>
    <w:rsid w:val="00A27C46"/>
    <w:rsid w:val="00A31C0F"/>
    <w:rsid w:val="00A32856"/>
    <w:rsid w:val="00A34E13"/>
    <w:rsid w:val="00A36BF2"/>
    <w:rsid w:val="00A4029B"/>
    <w:rsid w:val="00A442F3"/>
    <w:rsid w:val="00A51B15"/>
    <w:rsid w:val="00A52686"/>
    <w:rsid w:val="00A532C6"/>
    <w:rsid w:val="00A56901"/>
    <w:rsid w:val="00A60677"/>
    <w:rsid w:val="00A60CBC"/>
    <w:rsid w:val="00A6618F"/>
    <w:rsid w:val="00A665C9"/>
    <w:rsid w:val="00A7337C"/>
    <w:rsid w:val="00A8020A"/>
    <w:rsid w:val="00A83345"/>
    <w:rsid w:val="00A8747B"/>
    <w:rsid w:val="00A875E6"/>
    <w:rsid w:val="00A90D60"/>
    <w:rsid w:val="00A93362"/>
    <w:rsid w:val="00A946AB"/>
    <w:rsid w:val="00A946D2"/>
    <w:rsid w:val="00A95151"/>
    <w:rsid w:val="00A96699"/>
    <w:rsid w:val="00AA0E4A"/>
    <w:rsid w:val="00AA6082"/>
    <w:rsid w:val="00AB0823"/>
    <w:rsid w:val="00AB0EBB"/>
    <w:rsid w:val="00AB4A46"/>
    <w:rsid w:val="00AB5ACB"/>
    <w:rsid w:val="00AC0E7A"/>
    <w:rsid w:val="00AC214A"/>
    <w:rsid w:val="00AC2DB8"/>
    <w:rsid w:val="00AE3ABC"/>
    <w:rsid w:val="00AE3FF9"/>
    <w:rsid w:val="00AE4CB5"/>
    <w:rsid w:val="00AE5F2E"/>
    <w:rsid w:val="00AE7E8A"/>
    <w:rsid w:val="00AF22FD"/>
    <w:rsid w:val="00AF37FA"/>
    <w:rsid w:val="00AF4279"/>
    <w:rsid w:val="00AF5CF3"/>
    <w:rsid w:val="00AF7439"/>
    <w:rsid w:val="00AF75E7"/>
    <w:rsid w:val="00AF7C6D"/>
    <w:rsid w:val="00B00942"/>
    <w:rsid w:val="00B028C2"/>
    <w:rsid w:val="00B04DC4"/>
    <w:rsid w:val="00B06868"/>
    <w:rsid w:val="00B06F7D"/>
    <w:rsid w:val="00B10257"/>
    <w:rsid w:val="00B11E99"/>
    <w:rsid w:val="00B14CB0"/>
    <w:rsid w:val="00B15FBE"/>
    <w:rsid w:val="00B172D3"/>
    <w:rsid w:val="00B20443"/>
    <w:rsid w:val="00B21E7A"/>
    <w:rsid w:val="00B23501"/>
    <w:rsid w:val="00B23908"/>
    <w:rsid w:val="00B26FCC"/>
    <w:rsid w:val="00B316CA"/>
    <w:rsid w:val="00B31DE7"/>
    <w:rsid w:val="00B35B70"/>
    <w:rsid w:val="00B36F20"/>
    <w:rsid w:val="00B46CB7"/>
    <w:rsid w:val="00B479A5"/>
    <w:rsid w:val="00B53813"/>
    <w:rsid w:val="00B53F7E"/>
    <w:rsid w:val="00B57765"/>
    <w:rsid w:val="00B61A42"/>
    <w:rsid w:val="00B61B7A"/>
    <w:rsid w:val="00B673BF"/>
    <w:rsid w:val="00B70636"/>
    <w:rsid w:val="00B709DC"/>
    <w:rsid w:val="00B70FE4"/>
    <w:rsid w:val="00B741ED"/>
    <w:rsid w:val="00B76F41"/>
    <w:rsid w:val="00B81381"/>
    <w:rsid w:val="00B8411D"/>
    <w:rsid w:val="00B8622C"/>
    <w:rsid w:val="00B862D4"/>
    <w:rsid w:val="00BA0E35"/>
    <w:rsid w:val="00BA4858"/>
    <w:rsid w:val="00BA4922"/>
    <w:rsid w:val="00BA6588"/>
    <w:rsid w:val="00BB18B4"/>
    <w:rsid w:val="00BB5808"/>
    <w:rsid w:val="00BC1BC9"/>
    <w:rsid w:val="00BC3755"/>
    <w:rsid w:val="00BC3A54"/>
    <w:rsid w:val="00BC6B91"/>
    <w:rsid w:val="00BD2798"/>
    <w:rsid w:val="00BD5DEB"/>
    <w:rsid w:val="00BE2471"/>
    <w:rsid w:val="00BE33BB"/>
    <w:rsid w:val="00BF0118"/>
    <w:rsid w:val="00BF299A"/>
    <w:rsid w:val="00BF55BE"/>
    <w:rsid w:val="00C00072"/>
    <w:rsid w:val="00C0147D"/>
    <w:rsid w:val="00C014A5"/>
    <w:rsid w:val="00C01E99"/>
    <w:rsid w:val="00C01FD6"/>
    <w:rsid w:val="00C0317A"/>
    <w:rsid w:val="00C03788"/>
    <w:rsid w:val="00C071DF"/>
    <w:rsid w:val="00C10E2A"/>
    <w:rsid w:val="00C1727E"/>
    <w:rsid w:val="00C2321A"/>
    <w:rsid w:val="00C253F5"/>
    <w:rsid w:val="00C268EC"/>
    <w:rsid w:val="00C30243"/>
    <w:rsid w:val="00C33471"/>
    <w:rsid w:val="00C342B5"/>
    <w:rsid w:val="00C35415"/>
    <w:rsid w:val="00C4026F"/>
    <w:rsid w:val="00C411C9"/>
    <w:rsid w:val="00C42CC1"/>
    <w:rsid w:val="00C44102"/>
    <w:rsid w:val="00C47EC7"/>
    <w:rsid w:val="00C5007F"/>
    <w:rsid w:val="00C52CC3"/>
    <w:rsid w:val="00C55790"/>
    <w:rsid w:val="00C56214"/>
    <w:rsid w:val="00C62B87"/>
    <w:rsid w:val="00C6492C"/>
    <w:rsid w:val="00C64D97"/>
    <w:rsid w:val="00C656A6"/>
    <w:rsid w:val="00C656D9"/>
    <w:rsid w:val="00C77FB7"/>
    <w:rsid w:val="00C81CF3"/>
    <w:rsid w:val="00C82585"/>
    <w:rsid w:val="00C8527C"/>
    <w:rsid w:val="00C91037"/>
    <w:rsid w:val="00C92986"/>
    <w:rsid w:val="00C97410"/>
    <w:rsid w:val="00C975A4"/>
    <w:rsid w:val="00C97667"/>
    <w:rsid w:val="00C977E3"/>
    <w:rsid w:val="00CA1093"/>
    <w:rsid w:val="00CA1CF4"/>
    <w:rsid w:val="00CA277F"/>
    <w:rsid w:val="00CA334D"/>
    <w:rsid w:val="00CA7896"/>
    <w:rsid w:val="00CB1E11"/>
    <w:rsid w:val="00CB2306"/>
    <w:rsid w:val="00CB3129"/>
    <w:rsid w:val="00CB5BF1"/>
    <w:rsid w:val="00CB5DEB"/>
    <w:rsid w:val="00CB6961"/>
    <w:rsid w:val="00CC05CC"/>
    <w:rsid w:val="00CC1CA8"/>
    <w:rsid w:val="00CC25C4"/>
    <w:rsid w:val="00CC36B3"/>
    <w:rsid w:val="00CC64B4"/>
    <w:rsid w:val="00CD085D"/>
    <w:rsid w:val="00CD1B8F"/>
    <w:rsid w:val="00CD34D4"/>
    <w:rsid w:val="00CD45F7"/>
    <w:rsid w:val="00CD6045"/>
    <w:rsid w:val="00CD7EC4"/>
    <w:rsid w:val="00CE0037"/>
    <w:rsid w:val="00CE3405"/>
    <w:rsid w:val="00CE4EFC"/>
    <w:rsid w:val="00CE553F"/>
    <w:rsid w:val="00CF0C7A"/>
    <w:rsid w:val="00CF21F7"/>
    <w:rsid w:val="00CF3BD6"/>
    <w:rsid w:val="00CF539C"/>
    <w:rsid w:val="00CF65E8"/>
    <w:rsid w:val="00CF6C4F"/>
    <w:rsid w:val="00D015B4"/>
    <w:rsid w:val="00D05C23"/>
    <w:rsid w:val="00D071B8"/>
    <w:rsid w:val="00D129A8"/>
    <w:rsid w:val="00D13FC4"/>
    <w:rsid w:val="00D176AC"/>
    <w:rsid w:val="00D22931"/>
    <w:rsid w:val="00D22E05"/>
    <w:rsid w:val="00D23737"/>
    <w:rsid w:val="00D2684E"/>
    <w:rsid w:val="00D337AC"/>
    <w:rsid w:val="00D3603F"/>
    <w:rsid w:val="00D3691D"/>
    <w:rsid w:val="00D4032D"/>
    <w:rsid w:val="00D410F9"/>
    <w:rsid w:val="00D413E7"/>
    <w:rsid w:val="00D4471F"/>
    <w:rsid w:val="00D44D8A"/>
    <w:rsid w:val="00D45585"/>
    <w:rsid w:val="00D45848"/>
    <w:rsid w:val="00D505D5"/>
    <w:rsid w:val="00D516AB"/>
    <w:rsid w:val="00D532BA"/>
    <w:rsid w:val="00D53342"/>
    <w:rsid w:val="00D5364F"/>
    <w:rsid w:val="00D57C23"/>
    <w:rsid w:val="00D57E19"/>
    <w:rsid w:val="00D60691"/>
    <w:rsid w:val="00D61C0D"/>
    <w:rsid w:val="00D62AEF"/>
    <w:rsid w:val="00D63516"/>
    <w:rsid w:val="00D65946"/>
    <w:rsid w:val="00D65DC7"/>
    <w:rsid w:val="00D71195"/>
    <w:rsid w:val="00D719A1"/>
    <w:rsid w:val="00D71ED5"/>
    <w:rsid w:val="00D72F84"/>
    <w:rsid w:val="00D75DF9"/>
    <w:rsid w:val="00D77E02"/>
    <w:rsid w:val="00D81810"/>
    <w:rsid w:val="00D83837"/>
    <w:rsid w:val="00D86E1E"/>
    <w:rsid w:val="00D87063"/>
    <w:rsid w:val="00D92CCA"/>
    <w:rsid w:val="00D93A6D"/>
    <w:rsid w:val="00D94128"/>
    <w:rsid w:val="00D9444E"/>
    <w:rsid w:val="00D94D58"/>
    <w:rsid w:val="00D95D83"/>
    <w:rsid w:val="00D96E00"/>
    <w:rsid w:val="00DA061D"/>
    <w:rsid w:val="00DA4F8B"/>
    <w:rsid w:val="00DA57A2"/>
    <w:rsid w:val="00DA5DD5"/>
    <w:rsid w:val="00DA76E7"/>
    <w:rsid w:val="00DB00D9"/>
    <w:rsid w:val="00DB1BD3"/>
    <w:rsid w:val="00DB34BB"/>
    <w:rsid w:val="00DB3C43"/>
    <w:rsid w:val="00DC20FC"/>
    <w:rsid w:val="00DC2373"/>
    <w:rsid w:val="00DC2F7E"/>
    <w:rsid w:val="00DC3EEC"/>
    <w:rsid w:val="00DC5B77"/>
    <w:rsid w:val="00DC7344"/>
    <w:rsid w:val="00DD07C9"/>
    <w:rsid w:val="00DD2412"/>
    <w:rsid w:val="00DD24E8"/>
    <w:rsid w:val="00DD6DE0"/>
    <w:rsid w:val="00DD7635"/>
    <w:rsid w:val="00DE5EF4"/>
    <w:rsid w:val="00DE5FE3"/>
    <w:rsid w:val="00DE767F"/>
    <w:rsid w:val="00DE76F1"/>
    <w:rsid w:val="00DF0892"/>
    <w:rsid w:val="00DF2B12"/>
    <w:rsid w:val="00DF2E3E"/>
    <w:rsid w:val="00DF3C7E"/>
    <w:rsid w:val="00DF4363"/>
    <w:rsid w:val="00DF4555"/>
    <w:rsid w:val="00DF5062"/>
    <w:rsid w:val="00E033C0"/>
    <w:rsid w:val="00E04C36"/>
    <w:rsid w:val="00E0543A"/>
    <w:rsid w:val="00E14D3C"/>
    <w:rsid w:val="00E2249E"/>
    <w:rsid w:val="00E25B15"/>
    <w:rsid w:val="00E26E36"/>
    <w:rsid w:val="00E34CDA"/>
    <w:rsid w:val="00E40578"/>
    <w:rsid w:val="00E40909"/>
    <w:rsid w:val="00E41A70"/>
    <w:rsid w:val="00E4361E"/>
    <w:rsid w:val="00E47EE8"/>
    <w:rsid w:val="00E50408"/>
    <w:rsid w:val="00E508F4"/>
    <w:rsid w:val="00E50F0D"/>
    <w:rsid w:val="00E54D33"/>
    <w:rsid w:val="00E55620"/>
    <w:rsid w:val="00E62B6B"/>
    <w:rsid w:val="00E65933"/>
    <w:rsid w:val="00E66CED"/>
    <w:rsid w:val="00E67440"/>
    <w:rsid w:val="00E72DC3"/>
    <w:rsid w:val="00E73D42"/>
    <w:rsid w:val="00E7417B"/>
    <w:rsid w:val="00E75B75"/>
    <w:rsid w:val="00E75DC5"/>
    <w:rsid w:val="00E8225A"/>
    <w:rsid w:val="00E82C18"/>
    <w:rsid w:val="00E90896"/>
    <w:rsid w:val="00E92661"/>
    <w:rsid w:val="00E92EB8"/>
    <w:rsid w:val="00E97B8F"/>
    <w:rsid w:val="00EA0923"/>
    <w:rsid w:val="00EA1FF6"/>
    <w:rsid w:val="00EA4322"/>
    <w:rsid w:val="00EB0DA6"/>
    <w:rsid w:val="00EB468D"/>
    <w:rsid w:val="00EB4693"/>
    <w:rsid w:val="00EB7447"/>
    <w:rsid w:val="00EB75E7"/>
    <w:rsid w:val="00EC3392"/>
    <w:rsid w:val="00EC39F8"/>
    <w:rsid w:val="00EC669B"/>
    <w:rsid w:val="00EC7F68"/>
    <w:rsid w:val="00EE04DC"/>
    <w:rsid w:val="00EE0CD2"/>
    <w:rsid w:val="00EE412F"/>
    <w:rsid w:val="00EE5D2E"/>
    <w:rsid w:val="00EF0B4C"/>
    <w:rsid w:val="00EF0D07"/>
    <w:rsid w:val="00F04019"/>
    <w:rsid w:val="00F04F8F"/>
    <w:rsid w:val="00F148F1"/>
    <w:rsid w:val="00F170FD"/>
    <w:rsid w:val="00F17CB3"/>
    <w:rsid w:val="00F205A1"/>
    <w:rsid w:val="00F21364"/>
    <w:rsid w:val="00F2575A"/>
    <w:rsid w:val="00F30383"/>
    <w:rsid w:val="00F31CB8"/>
    <w:rsid w:val="00F32990"/>
    <w:rsid w:val="00F35050"/>
    <w:rsid w:val="00F36A08"/>
    <w:rsid w:val="00F42CA8"/>
    <w:rsid w:val="00F455DA"/>
    <w:rsid w:val="00F46361"/>
    <w:rsid w:val="00F47326"/>
    <w:rsid w:val="00F5112B"/>
    <w:rsid w:val="00F531B3"/>
    <w:rsid w:val="00F57F49"/>
    <w:rsid w:val="00F64E86"/>
    <w:rsid w:val="00F6526B"/>
    <w:rsid w:val="00F665CF"/>
    <w:rsid w:val="00F731F5"/>
    <w:rsid w:val="00F73867"/>
    <w:rsid w:val="00F77138"/>
    <w:rsid w:val="00F8254D"/>
    <w:rsid w:val="00F831BE"/>
    <w:rsid w:val="00F83784"/>
    <w:rsid w:val="00F83CD3"/>
    <w:rsid w:val="00F858A6"/>
    <w:rsid w:val="00F86140"/>
    <w:rsid w:val="00F86AF8"/>
    <w:rsid w:val="00F86CCC"/>
    <w:rsid w:val="00F91D0E"/>
    <w:rsid w:val="00F933F0"/>
    <w:rsid w:val="00F93E04"/>
    <w:rsid w:val="00FA2444"/>
    <w:rsid w:val="00FA33F6"/>
    <w:rsid w:val="00FA4836"/>
    <w:rsid w:val="00FA52B3"/>
    <w:rsid w:val="00FB003B"/>
    <w:rsid w:val="00FB02EA"/>
    <w:rsid w:val="00FB495D"/>
    <w:rsid w:val="00FB4F15"/>
    <w:rsid w:val="00FC248D"/>
    <w:rsid w:val="00FC4DB8"/>
    <w:rsid w:val="00FD034B"/>
    <w:rsid w:val="00FD2E9B"/>
    <w:rsid w:val="00FD7620"/>
    <w:rsid w:val="00FE2C90"/>
    <w:rsid w:val="00FE3124"/>
    <w:rsid w:val="00FE35CD"/>
    <w:rsid w:val="00FE3CCA"/>
    <w:rsid w:val="00FE642D"/>
    <w:rsid w:val="00FE7F33"/>
    <w:rsid w:val="00FF3FA2"/>
    <w:rsid w:val="00FF5EF7"/>
    <w:rsid w:val="00FF66A7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41BF9"/>
  <w15:docId w15:val="{C28BE0BD-C7D9-4CC4-88FC-4348D5853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8A1DAD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 w:eastAsia="x-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Csakszveg">
    <w:name w:val="Plain Text"/>
    <w:basedOn w:val="Norml"/>
    <w:link w:val="CsakszvegChar"/>
    <w:rsid w:val="00C42CC1"/>
    <w:pPr>
      <w:spacing w:before="0" w:after="0"/>
      <w:ind w:left="0"/>
      <w:jc w:val="left"/>
    </w:pPr>
    <w:rPr>
      <w:rFonts w:ascii="Courier New" w:hAnsi="Courier New"/>
      <w:sz w:val="20"/>
      <w:lang w:val="x-none" w:eastAsia="x-none"/>
    </w:rPr>
  </w:style>
  <w:style w:type="character" w:customStyle="1" w:styleId="CsakszvegChar">
    <w:name w:val="Csak szöveg Char"/>
    <w:link w:val="Csakszveg"/>
    <w:rsid w:val="00C42CC1"/>
    <w:rPr>
      <w:rFonts w:ascii="Courier New" w:eastAsia="Times New Roman" w:hAnsi="Courier New" w:cs="Courier New"/>
    </w:rPr>
  </w:style>
  <w:style w:type="paragraph" w:customStyle="1" w:styleId="Szvegtrzs210">
    <w:name w:val="Szövegtörzs 21"/>
    <w:basedOn w:val="Norml"/>
    <w:rsid w:val="00C42CC1"/>
    <w:rPr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0D2BCE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0D2BCE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D337AC"/>
  </w:style>
  <w:style w:type="character" w:customStyle="1" w:styleId="apple-style-span">
    <w:name w:val="apple-style-span"/>
    <w:rsid w:val="00B53F7E"/>
  </w:style>
  <w:style w:type="paragraph" w:customStyle="1" w:styleId="Szvegtrzs22">
    <w:name w:val="Szövegtörzs 22"/>
    <w:basedOn w:val="Norml"/>
    <w:rsid w:val="00B11E99"/>
    <w:pPr>
      <w:widowControl w:val="0"/>
    </w:pPr>
    <w:rPr>
      <w:rFonts w:ascii="Arial" w:hAnsi="Arial"/>
      <w:lang w:val="hu-HU"/>
    </w:rPr>
  </w:style>
  <w:style w:type="paragraph" w:customStyle="1" w:styleId="Szvegtrzs23">
    <w:name w:val="Szövegtörzs 23"/>
    <w:basedOn w:val="Norml"/>
    <w:rsid w:val="0094560E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460F2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3F27F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1B77CF"/>
    <w:rPr>
      <w:rFonts w:ascii="Times New Roman" w:eastAsia="Times New Roman" w:hAnsi="Times New Roman"/>
      <w:sz w:val="24"/>
      <w:szCs w:val="24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B003B"/>
    <w:pPr>
      <w:spacing w:before="0" w:after="0"/>
    </w:pPr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B003B"/>
    <w:rPr>
      <w:rFonts w:ascii="KerszTimes" w:eastAsia="Times New Roman" w:hAnsi="KerszTimes"/>
      <w:lang w:val="en-US"/>
    </w:rPr>
  </w:style>
  <w:style w:type="character" w:styleId="Vgjegyzet-hivatkozs">
    <w:name w:val="endnote reference"/>
    <w:basedOn w:val="Bekezdsalapbettpusa"/>
    <w:uiPriority w:val="99"/>
    <w:semiHidden/>
    <w:unhideWhenUsed/>
    <w:rsid w:val="00FB00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2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faktoring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8F7C8-8D1D-4125-ABDA-B123FCDC8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faktoring 2014.04.15.</Template>
  <TotalTime>5</TotalTime>
  <Pages>12</Pages>
  <Words>5496</Words>
  <Characters>37925</Characters>
  <Application>Microsoft Office Word</Application>
  <DocSecurity>0</DocSecurity>
  <Lines>316</Lines>
  <Paragraphs>86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Körömi Bálint dr.</cp:lastModifiedBy>
  <cp:revision>10</cp:revision>
  <cp:lastPrinted>2021-05-25T13:42:00Z</cp:lastPrinted>
  <dcterms:created xsi:type="dcterms:W3CDTF">2025-05-09T09:59:00Z</dcterms:created>
  <dcterms:modified xsi:type="dcterms:W3CDTF">2025-05-13T13:42:00Z</dcterms:modified>
</cp:coreProperties>
</file>